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6801" w:rsidRPr="00802A52" w:rsidRDefault="00C46173" w:rsidP="00802A52">
      <w:pPr>
        <w:pStyle w:val="Heading1"/>
        <w:rPr>
          <w:rFonts w:hint="eastAsia"/>
        </w:rPr>
      </w:pPr>
      <w:bookmarkStart w:id="0" w:name="_Toc403992345"/>
      <w:bookmarkStart w:id="1" w:name="_Toc403992580"/>
      <w:bookmarkStart w:id="2" w:name="_Toc419982219"/>
      <w:bookmarkStart w:id="3" w:name="_Toc419982304"/>
      <w:bookmarkStart w:id="4" w:name="_Toc419982305"/>
      <w:r w:rsidRPr="00C46173">
        <w:t>Market Square and Qu</w:t>
      </w:r>
      <w:r>
        <w:t>een’s Corner Building Engagement</w:t>
      </w:r>
      <w:bookmarkEnd w:id="0"/>
      <w:bookmarkEnd w:id="1"/>
      <w:bookmarkEnd w:id="2"/>
      <w:bookmarkEnd w:id="3"/>
      <w:bookmarkEnd w:id="4"/>
    </w:p>
    <w:p w:rsidR="00C46173" w:rsidRDefault="00C46173" w:rsidP="00C46173">
      <w:pPr>
        <w:pStyle w:val="Heading2"/>
        <w:rPr>
          <w:rFonts w:ascii="Arial" w:eastAsia="MS Mincho" w:hAnsi="Arial"/>
          <w:bCs w:val="0"/>
          <w:sz w:val="20"/>
          <w:szCs w:val="24"/>
          <w:lang w:val="en-AU"/>
        </w:rPr>
      </w:pPr>
      <w:bookmarkStart w:id="5" w:name="_Toc403992346"/>
      <w:bookmarkStart w:id="6" w:name="_Toc403992581"/>
      <w:bookmarkStart w:id="7" w:name="_Toc419982220"/>
      <w:bookmarkStart w:id="8" w:name="_Toc419982306"/>
      <w:r w:rsidRPr="00C46173">
        <w:rPr>
          <w:rFonts w:ascii="Arial" w:eastAsia="MS Mincho" w:hAnsi="Arial"/>
          <w:bCs w:val="0"/>
          <w:sz w:val="20"/>
          <w:szCs w:val="24"/>
          <w:lang w:val="en-AU"/>
        </w:rPr>
        <w:t>Engagement Summary report</w:t>
      </w:r>
      <w:r>
        <w:rPr>
          <w:rFonts w:ascii="Arial" w:eastAsia="MS Mincho" w:hAnsi="Arial"/>
          <w:bCs w:val="0"/>
          <w:sz w:val="20"/>
          <w:szCs w:val="24"/>
          <w:lang w:val="en-AU"/>
        </w:rPr>
        <w:br/>
        <w:t>Prepared by Capire on 23 November 20</w:t>
      </w:r>
      <w:r w:rsidRPr="00C46173">
        <w:rPr>
          <w:rFonts w:ascii="Arial" w:eastAsia="MS Mincho" w:hAnsi="Arial"/>
          <w:bCs w:val="0"/>
          <w:sz w:val="20"/>
          <w:szCs w:val="24"/>
          <w:lang w:val="en-AU"/>
        </w:rPr>
        <w:t>23</w:t>
      </w:r>
    </w:p>
    <w:bookmarkEnd w:id="5"/>
    <w:bookmarkEnd w:id="6"/>
    <w:bookmarkEnd w:id="7"/>
    <w:bookmarkEnd w:id="8"/>
    <w:p w:rsidR="00BE6801" w:rsidRPr="00AF02E0" w:rsidRDefault="00C46173" w:rsidP="00C46173">
      <w:pPr>
        <w:pStyle w:val="Heading2"/>
        <w:rPr>
          <w:rFonts w:hint="eastAsia"/>
        </w:rPr>
      </w:pPr>
      <w:r>
        <w:t>Project context</w:t>
      </w:r>
    </w:p>
    <w:p w:rsidR="00C46173" w:rsidRPr="00C46173" w:rsidRDefault="00C46173" w:rsidP="00C46173">
      <w:r w:rsidRPr="00C46173">
        <w:t>Mark</w:t>
      </w:r>
      <w:r>
        <w:t xml:space="preserve">et Square will create a new 1.8 </w:t>
      </w:r>
      <w:r w:rsidRPr="00C46173">
        <w:t>hectare open space, complementing the Queen Victoria Market (QVM). This project will relocate the existing open-air car park close to the market and transform the site into one of the largest public spaces in the city, offering more public open space for residents, city workers, visitors and market customers.</w:t>
      </w:r>
    </w:p>
    <w:p w:rsidR="00C46173" w:rsidRPr="00C46173" w:rsidRDefault="00C46173" w:rsidP="00C46173">
      <w:r w:rsidRPr="00C46173">
        <w:t>In addition, Queen’s Corner Building (QCB) will be delivered alongside Market Square. The building will become the eastern edge of Market Square and contain public amenities and basement levels for storage and logistics, supporting events and day-to-day operations. The above ground spaces will be available for community use and accommodate uses to support the activation of Market Square. The heritage Franklin Street Stores will be restored and refurbished to provide a southern edge for hospitality and a link from the southern site.</w:t>
      </w:r>
    </w:p>
    <w:p w:rsidR="00BE6801" w:rsidRPr="00C46173" w:rsidRDefault="00C46173" w:rsidP="00C46173">
      <w:r w:rsidRPr="00C46173">
        <w:t>The City of Melbourne sought the community’s thoughts and ideas for the future of Market Square and the Queen’s Corner Building.</w:t>
      </w:r>
    </w:p>
    <w:p w:rsidR="00BE6801" w:rsidRPr="00AF02E0" w:rsidRDefault="00C46173" w:rsidP="00C46173">
      <w:pPr>
        <w:pStyle w:val="Heading2"/>
        <w:rPr>
          <w:rFonts w:hint="eastAsia"/>
        </w:rPr>
      </w:pPr>
      <w:bookmarkStart w:id="9" w:name="_Toc403992347"/>
      <w:bookmarkStart w:id="10" w:name="_Toc403992582"/>
      <w:bookmarkStart w:id="11" w:name="_Toc419966635"/>
      <w:bookmarkStart w:id="12" w:name="_Toc419982221"/>
      <w:bookmarkStart w:id="13" w:name="_Toc419982307"/>
      <w:r>
        <w:t>Who we heard from</w:t>
      </w:r>
      <w:bookmarkStart w:id="14" w:name="_GoBack"/>
      <w:bookmarkEnd w:id="9"/>
      <w:bookmarkEnd w:id="10"/>
      <w:bookmarkEnd w:id="11"/>
      <w:bookmarkEnd w:id="12"/>
      <w:bookmarkEnd w:id="13"/>
      <w:bookmarkEnd w:id="14"/>
    </w:p>
    <w:p w:rsidR="00C46173" w:rsidRDefault="00C46173" w:rsidP="00020B35">
      <w:pPr>
        <w:pStyle w:val="Heading4"/>
        <w:rPr>
          <w:rFonts w:ascii="Arial" w:hAnsi="Arial"/>
          <w:bCs w:val="0"/>
          <w:szCs w:val="24"/>
          <w:lang w:val="en-AU"/>
        </w:rPr>
      </w:pPr>
      <w:bookmarkStart w:id="15" w:name="_Toc403992348"/>
      <w:bookmarkStart w:id="16" w:name="_Toc403992583"/>
      <w:r w:rsidRPr="00C46173">
        <w:rPr>
          <w:rFonts w:ascii="Arial" w:hAnsi="Arial"/>
          <w:bCs w:val="0"/>
          <w:szCs w:val="24"/>
          <w:lang w:val="en-AU"/>
        </w:rPr>
        <w:t>Close to 600 people participated in the engagement, providing feedback on what features, programs, or amenities they would like to see in Market Square and the Queen’s Corner Building. This includes 221 survey responses, and 362 participants engaged through place-based activities.</w:t>
      </w:r>
    </w:p>
    <w:p w:rsidR="00C46173" w:rsidRDefault="00E50330" w:rsidP="00C46173">
      <w:pPr>
        <w:pStyle w:val="ListParagraph"/>
        <w:numPr>
          <w:ilvl w:val="0"/>
          <w:numId w:val="17"/>
        </w:numPr>
      </w:pPr>
      <w:r>
        <w:t>7,475 l</w:t>
      </w:r>
      <w:r w:rsidR="00C46173">
        <w:t xml:space="preserve">etters were sent to nearby residents </w:t>
      </w:r>
      <w:r w:rsidR="00C46173">
        <w:tab/>
      </w:r>
    </w:p>
    <w:p w:rsidR="00C46173" w:rsidRDefault="00E50330" w:rsidP="00C46173">
      <w:pPr>
        <w:pStyle w:val="ListParagraph"/>
        <w:numPr>
          <w:ilvl w:val="0"/>
          <w:numId w:val="17"/>
        </w:numPr>
      </w:pPr>
      <w:r>
        <w:t>~180 p</w:t>
      </w:r>
      <w:r w:rsidR="00C46173">
        <w:t xml:space="preserve">eople participated in a pop-up </w:t>
      </w:r>
      <w:r w:rsidR="00C46173">
        <w:tab/>
      </w:r>
    </w:p>
    <w:p w:rsidR="00C46173" w:rsidRDefault="00E50330" w:rsidP="00C46173">
      <w:pPr>
        <w:pStyle w:val="ListParagraph"/>
        <w:numPr>
          <w:ilvl w:val="0"/>
          <w:numId w:val="17"/>
        </w:numPr>
      </w:pPr>
      <w:r>
        <w:t>221 o</w:t>
      </w:r>
      <w:r w:rsidR="00C46173">
        <w:t>nline surveys were completed</w:t>
      </w:r>
    </w:p>
    <w:p w:rsidR="00C46173" w:rsidRDefault="00E50330" w:rsidP="00C46173">
      <w:pPr>
        <w:pStyle w:val="ListParagraph"/>
        <w:numPr>
          <w:ilvl w:val="0"/>
          <w:numId w:val="17"/>
        </w:numPr>
      </w:pPr>
      <w:r>
        <w:t>32 p</w:t>
      </w:r>
      <w:r w:rsidR="00C46173">
        <w:t>arents and children participated in a school holiday activity</w:t>
      </w:r>
      <w:r w:rsidR="00C46173">
        <w:tab/>
      </w:r>
    </w:p>
    <w:p w:rsidR="00C46173" w:rsidRDefault="00E50330" w:rsidP="00C46173">
      <w:pPr>
        <w:pStyle w:val="ListParagraph"/>
        <w:numPr>
          <w:ilvl w:val="0"/>
          <w:numId w:val="17"/>
        </w:numPr>
      </w:pPr>
      <w:r>
        <w:t>150 p</w:t>
      </w:r>
      <w:r w:rsidR="00C46173">
        <w:t>eople participated in an intercept survey on site</w:t>
      </w:r>
    </w:p>
    <w:p w:rsidR="00C46173" w:rsidRDefault="00E50330" w:rsidP="00C46173">
      <w:pPr>
        <w:pStyle w:val="ListParagraph"/>
        <w:numPr>
          <w:ilvl w:val="0"/>
          <w:numId w:val="17"/>
        </w:numPr>
      </w:pPr>
      <w:r>
        <w:t>9 p</w:t>
      </w:r>
      <w:r w:rsidR="00C46173">
        <w:t>eople participated in either a workshop or individual interview</w:t>
      </w:r>
    </w:p>
    <w:p w:rsidR="00C46173" w:rsidRDefault="00C46173" w:rsidP="00C46173"/>
    <w:p w:rsidR="00C46173" w:rsidRDefault="00C46173" w:rsidP="00C46173">
      <w:r w:rsidRPr="00C63FFD">
        <w:t>The below charts show the age of survey respondents, and their connection to the project</w:t>
      </w:r>
      <w:r>
        <w:t xml:space="preserve"> </w:t>
      </w:r>
    </w:p>
    <w:p w:rsidR="00C46173" w:rsidRPr="00C46173" w:rsidRDefault="00E50330" w:rsidP="00E50330">
      <w:pPr>
        <w:pStyle w:val="Heading3"/>
      </w:pPr>
      <w:r>
        <w:t xml:space="preserve">Table 1 - </w:t>
      </w:r>
      <w:r w:rsidR="00C46173" w:rsidRPr="00C46173">
        <w:t>Age groups of respondents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2353"/>
      </w:tblGrid>
      <w:tr w:rsidR="00C46173" w:rsidRPr="000474AE" w:rsidTr="009F1617">
        <w:trPr>
          <w:tblHeader/>
        </w:trPr>
        <w:tc>
          <w:tcPr>
            <w:tcW w:w="2296" w:type="dxa"/>
            <w:shd w:val="clear" w:color="auto" w:fill="auto"/>
          </w:tcPr>
          <w:p w:rsidR="00C46173" w:rsidRPr="00802A52" w:rsidRDefault="00C46173" w:rsidP="009F1617">
            <w:pPr>
              <w:pStyle w:val="TableofFigures"/>
              <w:rPr>
                <w:rFonts w:eastAsia="Cambria"/>
                <w:b/>
              </w:rPr>
            </w:pPr>
            <w:r>
              <w:rPr>
                <w:rFonts w:eastAsia="Cambria"/>
                <w:b/>
              </w:rPr>
              <w:t>Age range</w:t>
            </w:r>
          </w:p>
        </w:tc>
        <w:tc>
          <w:tcPr>
            <w:tcW w:w="2353" w:type="dxa"/>
            <w:shd w:val="clear" w:color="auto" w:fill="auto"/>
          </w:tcPr>
          <w:p w:rsidR="00C46173" w:rsidRPr="00802A52" w:rsidRDefault="00C46173" w:rsidP="009F1617">
            <w:pPr>
              <w:pStyle w:val="TableofFigures"/>
              <w:rPr>
                <w:rFonts w:eastAsia="Cambria"/>
                <w:b/>
              </w:rPr>
            </w:pPr>
            <w:r>
              <w:rPr>
                <w:rFonts w:eastAsia="Cambria"/>
                <w:b/>
              </w:rPr>
              <w:t>Respondents</w:t>
            </w:r>
          </w:p>
        </w:tc>
      </w:tr>
      <w:tr w:rsidR="00C46173" w:rsidRPr="00493E0A" w:rsidTr="009F1617">
        <w:tc>
          <w:tcPr>
            <w:tcW w:w="2296" w:type="dxa"/>
            <w:shd w:val="clear" w:color="auto" w:fill="auto"/>
          </w:tcPr>
          <w:p w:rsidR="00C46173" w:rsidRPr="00217D9E" w:rsidRDefault="00C46173" w:rsidP="00C46173">
            <w:r w:rsidRPr="00217D9E">
              <w:t>15-19</w:t>
            </w:r>
          </w:p>
        </w:tc>
        <w:tc>
          <w:tcPr>
            <w:tcW w:w="2353" w:type="dxa"/>
            <w:shd w:val="clear" w:color="auto" w:fill="auto"/>
          </w:tcPr>
          <w:p w:rsidR="00C46173" w:rsidRPr="00802A52" w:rsidRDefault="00C46173" w:rsidP="00C46173">
            <w:pPr>
              <w:pStyle w:val="TableofFigures"/>
              <w:rPr>
                <w:rFonts w:eastAsia="Cambria"/>
              </w:rPr>
            </w:pPr>
            <w:r>
              <w:rPr>
                <w:rFonts w:eastAsia="Cambria"/>
              </w:rPr>
              <w:t>2</w:t>
            </w:r>
          </w:p>
        </w:tc>
      </w:tr>
      <w:tr w:rsidR="00C46173" w:rsidRPr="00493E0A" w:rsidTr="009F1617">
        <w:tc>
          <w:tcPr>
            <w:tcW w:w="2296" w:type="dxa"/>
            <w:shd w:val="clear" w:color="auto" w:fill="auto"/>
          </w:tcPr>
          <w:p w:rsidR="00C46173" w:rsidRPr="00217D9E" w:rsidRDefault="00C46173" w:rsidP="00C46173">
            <w:r w:rsidRPr="00217D9E">
              <w:t>20-24</w:t>
            </w:r>
          </w:p>
        </w:tc>
        <w:tc>
          <w:tcPr>
            <w:tcW w:w="2353" w:type="dxa"/>
            <w:shd w:val="clear" w:color="auto" w:fill="auto"/>
          </w:tcPr>
          <w:p w:rsidR="00C46173" w:rsidRPr="00802A52" w:rsidRDefault="00C46173" w:rsidP="00C46173">
            <w:pPr>
              <w:pStyle w:val="TableofFigures"/>
              <w:rPr>
                <w:rFonts w:eastAsia="Cambria"/>
              </w:rPr>
            </w:pPr>
            <w:r>
              <w:rPr>
                <w:rFonts w:eastAsia="Cambria"/>
              </w:rPr>
              <w:t>11</w:t>
            </w:r>
          </w:p>
        </w:tc>
      </w:tr>
      <w:tr w:rsidR="00C46173" w:rsidRPr="00493E0A" w:rsidTr="009F1617">
        <w:tc>
          <w:tcPr>
            <w:tcW w:w="2296" w:type="dxa"/>
            <w:shd w:val="clear" w:color="auto" w:fill="auto"/>
          </w:tcPr>
          <w:p w:rsidR="00C46173" w:rsidRPr="00217D9E" w:rsidRDefault="00C46173" w:rsidP="00C46173">
            <w:r w:rsidRPr="00217D9E">
              <w:t>25-29</w:t>
            </w:r>
          </w:p>
        </w:tc>
        <w:tc>
          <w:tcPr>
            <w:tcW w:w="2353" w:type="dxa"/>
            <w:shd w:val="clear" w:color="auto" w:fill="auto"/>
          </w:tcPr>
          <w:p w:rsidR="00C46173" w:rsidRPr="00802A52" w:rsidRDefault="00C46173" w:rsidP="00C46173">
            <w:pPr>
              <w:pStyle w:val="TableofFigures"/>
              <w:rPr>
                <w:rFonts w:eastAsia="Cambria"/>
              </w:rPr>
            </w:pPr>
            <w:r>
              <w:rPr>
                <w:rFonts w:eastAsia="Cambria"/>
              </w:rPr>
              <w:t>33</w:t>
            </w:r>
          </w:p>
        </w:tc>
      </w:tr>
      <w:tr w:rsidR="00C46173" w:rsidRPr="00493E0A" w:rsidTr="009F1617">
        <w:tc>
          <w:tcPr>
            <w:tcW w:w="2296" w:type="dxa"/>
            <w:shd w:val="clear" w:color="auto" w:fill="auto"/>
          </w:tcPr>
          <w:p w:rsidR="00C46173" w:rsidRPr="00217D9E" w:rsidRDefault="00C46173" w:rsidP="00C46173">
            <w:r w:rsidRPr="00217D9E">
              <w:lastRenderedPageBreak/>
              <w:t>30-34</w:t>
            </w:r>
          </w:p>
        </w:tc>
        <w:tc>
          <w:tcPr>
            <w:tcW w:w="2353" w:type="dxa"/>
            <w:shd w:val="clear" w:color="auto" w:fill="auto"/>
          </w:tcPr>
          <w:p w:rsidR="00C46173" w:rsidRPr="00802A52" w:rsidRDefault="00C46173" w:rsidP="00C46173">
            <w:pPr>
              <w:pStyle w:val="TableofFigures"/>
              <w:rPr>
                <w:rFonts w:eastAsia="Cambria"/>
              </w:rPr>
            </w:pPr>
            <w:r>
              <w:rPr>
                <w:rFonts w:eastAsia="Cambria"/>
              </w:rPr>
              <w:t>37</w:t>
            </w:r>
          </w:p>
        </w:tc>
      </w:tr>
      <w:tr w:rsidR="00C46173" w:rsidRPr="00493E0A" w:rsidTr="009F1617">
        <w:tc>
          <w:tcPr>
            <w:tcW w:w="2296" w:type="dxa"/>
            <w:shd w:val="clear" w:color="auto" w:fill="auto"/>
          </w:tcPr>
          <w:p w:rsidR="00C46173" w:rsidRPr="00217D9E" w:rsidRDefault="00C46173" w:rsidP="00C46173">
            <w:r w:rsidRPr="00217D9E">
              <w:t>35-39</w:t>
            </w:r>
          </w:p>
        </w:tc>
        <w:tc>
          <w:tcPr>
            <w:tcW w:w="2353" w:type="dxa"/>
            <w:shd w:val="clear" w:color="auto" w:fill="auto"/>
          </w:tcPr>
          <w:p w:rsidR="00C46173" w:rsidRPr="00802A52" w:rsidRDefault="00C46173" w:rsidP="00C46173">
            <w:pPr>
              <w:pStyle w:val="TableofFigures"/>
              <w:rPr>
                <w:rFonts w:eastAsia="Cambria"/>
              </w:rPr>
            </w:pPr>
            <w:r>
              <w:rPr>
                <w:rFonts w:eastAsia="Cambria"/>
              </w:rPr>
              <w:t>34</w:t>
            </w:r>
          </w:p>
        </w:tc>
      </w:tr>
      <w:tr w:rsidR="00C46173" w:rsidRPr="00493E0A" w:rsidTr="009F1617">
        <w:tc>
          <w:tcPr>
            <w:tcW w:w="2296" w:type="dxa"/>
            <w:shd w:val="clear" w:color="auto" w:fill="auto"/>
          </w:tcPr>
          <w:p w:rsidR="00C46173" w:rsidRPr="00217D9E" w:rsidRDefault="00C46173" w:rsidP="00C46173">
            <w:r w:rsidRPr="00217D9E">
              <w:t>40-44</w:t>
            </w:r>
          </w:p>
        </w:tc>
        <w:tc>
          <w:tcPr>
            <w:tcW w:w="2353" w:type="dxa"/>
            <w:shd w:val="clear" w:color="auto" w:fill="auto"/>
          </w:tcPr>
          <w:p w:rsidR="00C46173" w:rsidRPr="00802A52" w:rsidRDefault="00C46173" w:rsidP="00C46173">
            <w:pPr>
              <w:pStyle w:val="TableofFigures"/>
              <w:rPr>
                <w:rFonts w:eastAsia="Cambria"/>
              </w:rPr>
            </w:pPr>
            <w:r>
              <w:rPr>
                <w:rFonts w:eastAsia="Cambria"/>
              </w:rPr>
              <w:t>27</w:t>
            </w:r>
          </w:p>
        </w:tc>
      </w:tr>
      <w:tr w:rsidR="00C46173" w:rsidRPr="00493E0A" w:rsidTr="009F1617">
        <w:tc>
          <w:tcPr>
            <w:tcW w:w="2296" w:type="dxa"/>
            <w:shd w:val="clear" w:color="auto" w:fill="auto"/>
          </w:tcPr>
          <w:p w:rsidR="00C46173" w:rsidRPr="00217D9E" w:rsidRDefault="00C46173" w:rsidP="00C46173">
            <w:r w:rsidRPr="00217D9E">
              <w:t>45-49</w:t>
            </w:r>
          </w:p>
        </w:tc>
        <w:tc>
          <w:tcPr>
            <w:tcW w:w="2353" w:type="dxa"/>
            <w:shd w:val="clear" w:color="auto" w:fill="auto"/>
          </w:tcPr>
          <w:p w:rsidR="00C46173" w:rsidRPr="00802A52" w:rsidRDefault="005F0FD2" w:rsidP="00C46173">
            <w:pPr>
              <w:pStyle w:val="TableofFigures"/>
              <w:rPr>
                <w:rFonts w:eastAsia="Cambria"/>
              </w:rPr>
            </w:pPr>
            <w:r>
              <w:rPr>
                <w:rFonts w:eastAsia="Cambria"/>
              </w:rPr>
              <w:t>8</w:t>
            </w:r>
          </w:p>
        </w:tc>
      </w:tr>
      <w:tr w:rsidR="00C46173" w:rsidRPr="00493E0A" w:rsidTr="009F1617">
        <w:tc>
          <w:tcPr>
            <w:tcW w:w="2296" w:type="dxa"/>
            <w:shd w:val="clear" w:color="auto" w:fill="auto"/>
          </w:tcPr>
          <w:p w:rsidR="00C46173" w:rsidRPr="00217D9E" w:rsidRDefault="00C46173" w:rsidP="00C46173">
            <w:r w:rsidRPr="00217D9E">
              <w:t>50-54</w:t>
            </w:r>
          </w:p>
        </w:tc>
        <w:tc>
          <w:tcPr>
            <w:tcW w:w="2353" w:type="dxa"/>
            <w:shd w:val="clear" w:color="auto" w:fill="auto"/>
          </w:tcPr>
          <w:p w:rsidR="00C46173" w:rsidRPr="00802A52" w:rsidRDefault="005F0FD2" w:rsidP="00C46173">
            <w:pPr>
              <w:pStyle w:val="TableofFigures"/>
              <w:rPr>
                <w:rFonts w:eastAsia="Cambria"/>
              </w:rPr>
            </w:pPr>
            <w:r>
              <w:rPr>
                <w:rFonts w:eastAsia="Cambria"/>
              </w:rPr>
              <w:t>17</w:t>
            </w:r>
          </w:p>
        </w:tc>
      </w:tr>
      <w:tr w:rsidR="00C46173" w:rsidRPr="00493E0A" w:rsidTr="009F1617">
        <w:tc>
          <w:tcPr>
            <w:tcW w:w="2296" w:type="dxa"/>
            <w:shd w:val="clear" w:color="auto" w:fill="auto"/>
          </w:tcPr>
          <w:p w:rsidR="00C46173" w:rsidRPr="00217D9E" w:rsidRDefault="00C46173" w:rsidP="00C46173">
            <w:r w:rsidRPr="00217D9E">
              <w:t>55-59</w:t>
            </w:r>
          </w:p>
        </w:tc>
        <w:tc>
          <w:tcPr>
            <w:tcW w:w="2353" w:type="dxa"/>
            <w:shd w:val="clear" w:color="auto" w:fill="auto"/>
          </w:tcPr>
          <w:p w:rsidR="00C46173" w:rsidRPr="00802A52" w:rsidRDefault="005F0FD2" w:rsidP="00C46173">
            <w:pPr>
              <w:pStyle w:val="TableofFigures"/>
              <w:rPr>
                <w:rFonts w:eastAsia="Cambria"/>
              </w:rPr>
            </w:pPr>
            <w:r>
              <w:rPr>
                <w:rFonts w:eastAsia="Cambria"/>
              </w:rPr>
              <w:t>12</w:t>
            </w:r>
          </w:p>
        </w:tc>
      </w:tr>
      <w:tr w:rsidR="00C46173" w:rsidRPr="00493E0A" w:rsidTr="009F1617">
        <w:tc>
          <w:tcPr>
            <w:tcW w:w="2296" w:type="dxa"/>
            <w:shd w:val="clear" w:color="auto" w:fill="auto"/>
          </w:tcPr>
          <w:p w:rsidR="00C46173" w:rsidRPr="00217D9E" w:rsidRDefault="00C46173" w:rsidP="00C46173">
            <w:r w:rsidRPr="00217D9E">
              <w:t>60-64</w:t>
            </w:r>
          </w:p>
        </w:tc>
        <w:tc>
          <w:tcPr>
            <w:tcW w:w="2353" w:type="dxa"/>
            <w:shd w:val="clear" w:color="auto" w:fill="auto"/>
          </w:tcPr>
          <w:p w:rsidR="00C46173" w:rsidRPr="00802A52" w:rsidRDefault="005F0FD2" w:rsidP="00C46173">
            <w:pPr>
              <w:pStyle w:val="TableofFigures"/>
              <w:rPr>
                <w:rFonts w:eastAsia="Cambria"/>
              </w:rPr>
            </w:pPr>
            <w:r>
              <w:rPr>
                <w:rFonts w:eastAsia="Cambria"/>
              </w:rPr>
              <w:t>10</w:t>
            </w:r>
          </w:p>
        </w:tc>
      </w:tr>
      <w:tr w:rsidR="00C46173" w:rsidRPr="00493E0A" w:rsidTr="009F1617">
        <w:tc>
          <w:tcPr>
            <w:tcW w:w="2296" w:type="dxa"/>
            <w:shd w:val="clear" w:color="auto" w:fill="auto"/>
          </w:tcPr>
          <w:p w:rsidR="00C46173" w:rsidRPr="00217D9E" w:rsidRDefault="00C46173" w:rsidP="00C46173">
            <w:r w:rsidRPr="00217D9E">
              <w:t>65-69</w:t>
            </w:r>
          </w:p>
        </w:tc>
        <w:tc>
          <w:tcPr>
            <w:tcW w:w="2353" w:type="dxa"/>
            <w:shd w:val="clear" w:color="auto" w:fill="auto"/>
          </w:tcPr>
          <w:p w:rsidR="00C46173" w:rsidRPr="00802A52" w:rsidRDefault="005F0FD2" w:rsidP="00C46173">
            <w:pPr>
              <w:pStyle w:val="TableofFigures"/>
              <w:rPr>
                <w:rFonts w:eastAsia="Cambria"/>
              </w:rPr>
            </w:pPr>
            <w:r>
              <w:rPr>
                <w:rFonts w:eastAsia="Cambria"/>
              </w:rPr>
              <w:t>6</w:t>
            </w:r>
          </w:p>
        </w:tc>
      </w:tr>
      <w:tr w:rsidR="00C46173" w:rsidRPr="00493E0A" w:rsidTr="009F1617">
        <w:tc>
          <w:tcPr>
            <w:tcW w:w="2296" w:type="dxa"/>
            <w:shd w:val="clear" w:color="auto" w:fill="auto"/>
          </w:tcPr>
          <w:p w:rsidR="00C46173" w:rsidRPr="00217D9E" w:rsidRDefault="00C46173" w:rsidP="00C46173">
            <w:r w:rsidRPr="00217D9E">
              <w:t>70-74</w:t>
            </w:r>
          </w:p>
        </w:tc>
        <w:tc>
          <w:tcPr>
            <w:tcW w:w="2353" w:type="dxa"/>
            <w:shd w:val="clear" w:color="auto" w:fill="auto"/>
          </w:tcPr>
          <w:p w:rsidR="00C46173" w:rsidRPr="00802A52" w:rsidRDefault="005F0FD2" w:rsidP="00C46173">
            <w:pPr>
              <w:pStyle w:val="TableofFigures"/>
              <w:rPr>
                <w:rFonts w:eastAsia="Cambria"/>
              </w:rPr>
            </w:pPr>
            <w:r>
              <w:rPr>
                <w:rFonts w:eastAsia="Cambria"/>
              </w:rPr>
              <w:t>5</w:t>
            </w:r>
          </w:p>
        </w:tc>
      </w:tr>
      <w:tr w:rsidR="00C46173" w:rsidRPr="00493E0A" w:rsidTr="009F1617">
        <w:tc>
          <w:tcPr>
            <w:tcW w:w="2296" w:type="dxa"/>
            <w:shd w:val="clear" w:color="auto" w:fill="auto"/>
          </w:tcPr>
          <w:p w:rsidR="00C46173" w:rsidRPr="00217D9E" w:rsidRDefault="00C46173" w:rsidP="00C46173">
            <w:r w:rsidRPr="00217D9E">
              <w:t>75-79</w:t>
            </w:r>
          </w:p>
        </w:tc>
        <w:tc>
          <w:tcPr>
            <w:tcW w:w="2353" w:type="dxa"/>
            <w:shd w:val="clear" w:color="auto" w:fill="auto"/>
          </w:tcPr>
          <w:p w:rsidR="00C46173" w:rsidRPr="00802A52" w:rsidRDefault="005F0FD2" w:rsidP="00C46173">
            <w:pPr>
              <w:pStyle w:val="TableofFigures"/>
              <w:rPr>
                <w:rFonts w:eastAsia="Cambria"/>
              </w:rPr>
            </w:pPr>
            <w:r>
              <w:rPr>
                <w:rFonts w:eastAsia="Cambria"/>
              </w:rPr>
              <w:t>3</w:t>
            </w:r>
          </w:p>
        </w:tc>
      </w:tr>
      <w:tr w:rsidR="00C46173" w:rsidRPr="00493E0A" w:rsidTr="009F1617">
        <w:tc>
          <w:tcPr>
            <w:tcW w:w="2296" w:type="dxa"/>
            <w:shd w:val="clear" w:color="auto" w:fill="auto"/>
          </w:tcPr>
          <w:p w:rsidR="00C46173" w:rsidRPr="00217D9E" w:rsidRDefault="00C46173" w:rsidP="00C46173">
            <w:r w:rsidRPr="00217D9E">
              <w:t>80-84</w:t>
            </w:r>
          </w:p>
        </w:tc>
        <w:tc>
          <w:tcPr>
            <w:tcW w:w="2353" w:type="dxa"/>
            <w:shd w:val="clear" w:color="auto" w:fill="auto"/>
          </w:tcPr>
          <w:p w:rsidR="00C46173" w:rsidRPr="00802A52" w:rsidRDefault="005F0FD2" w:rsidP="00C46173">
            <w:pPr>
              <w:pStyle w:val="TableofFigures"/>
              <w:rPr>
                <w:rFonts w:eastAsia="Cambria"/>
              </w:rPr>
            </w:pPr>
            <w:r>
              <w:rPr>
                <w:rFonts w:eastAsia="Cambria"/>
              </w:rPr>
              <w:t>3</w:t>
            </w:r>
          </w:p>
        </w:tc>
      </w:tr>
      <w:tr w:rsidR="00C46173" w:rsidRPr="00493E0A" w:rsidTr="009F1617">
        <w:tc>
          <w:tcPr>
            <w:tcW w:w="2296" w:type="dxa"/>
            <w:shd w:val="clear" w:color="auto" w:fill="auto"/>
          </w:tcPr>
          <w:p w:rsidR="00C46173" w:rsidRPr="00217D9E" w:rsidRDefault="00C46173" w:rsidP="00C46173">
            <w:r w:rsidRPr="00217D9E">
              <w:t>85-89</w:t>
            </w:r>
          </w:p>
        </w:tc>
        <w:tc>
          <w:tcPr>
            <w:tcW w:w="2353" w:type="dxa"/>
            <w:shd w:val="clear" w:color="auto" w:fill="auto"/>
          </w:tcPr>
          <w:p w:rsidR="00C46173" w:rsidRPr="00802A52" w:rsidRDefault="005F0FD2" w:rsidP="00C46173">
            <w:pPr>
              <w:pStyle w:val="TableofFigures"/>
              <w:rPr>
                <w:rFonts w:eastAsia="Cambria"/>
              </w:rPr>
            </w:pPr>
            <w:r>
              <w:rPr>
                <w:rFonts w:eastAsia="Cambria"/>
              </w:rPr>
              <w:t>2</w:t>
            </w:r>
          </w:p>
        </w:tc>
      </w:tr>
      <w:tr w:rsidR="00C46173" w:rsidRPr="00493E0A" w:rsidTr="009F1617">
        <w:tc>
          <w:tcPr>
            <w:tcW w:w="2296" w:type="dxa"/>
            <w:shd w:val="clear" w:color="auto" w:fill="auto"/>
          </w:tcPr>
          <w:p w:rsidR="00C46173" w:rsidRPr="00217D9E" w:rsidRDefault="00C46173" w:rsidP="00C46173">
            <w:r w:rsidRPr="00217D9E">
              <w:t>Prefer not say</w:t>
            </w:r>
          </w:p>
        </w:tc>
        <w:tc>
          <w:tcPr>
            <w:tcW w:w="2353" w:type="dxa"/>
            <w:shd w:val="clear" w:color="auto" w:fill="auto"/>
          </w:tcPr>
          <w:p w:rsidR="00C46173" w:rsidRPr="00802A52" w:rsidRDefault="005F0FD2" w:rsidP="00C46173">
            <w:pPr>
              <w:pStyle w:val="TableofFigures"/>
              <w:rPr>
                <w:rFonts w:eastAsia="Cambria"/>
              </w:rPr>
            </w:pPr>
            <w:r>
              <w:rPr>
                <w:rFonts w:eastAsia="Cambria"/>
              </w:rPr>
              <w:t>7</w:t>
            </w:r>
          </w:p>
        </w:tc>
      </w:tr>
      <w:tr w:rsidR="00C46173" w:rsidRPr="00493E0A" w:rsidTr="009F1617">
        <w:tc>
          <w:tcPr>
            <w:tcW w:w="2296" w:type="dxa"/>
            <w:shd w:val="clear" w:color="auto" w:fill="auto"/>
          </w:tcPr>
          <w:p w:rsidR="00C46173" w:rsidRPr="00217D9E" w:rsidRDefault="00C46173" w:rsidP="00C46173">
            <w:r w:rsidRPr="00217D9E">
              <w:t>No response</w:t>
            </w:r>
          </w:p>
        </w:tc>
        <w:tc>
          <w:tcPr>
            <w:tcW w:w="2353" w:type="dxa"/>
            <w:shd w:val="clear" w:color="auto" w:fill="auto"/>
          </w:tcPr>
          <w:p w:rsidR="00C46173" w:rsidRPr="00802A52" w:rsidRDefault="005F0FD2" w:rsidP="00C46173">
            <w:pPr>
              <w:pStyle w:val="TableofFigures"/>
              <w:rPr>
                <w:rFonts w:eastAsia="Cambria"/>
              </w:rPr>
            </w:pPr>
            <w:r>
              <w:rPr>
                <w:rFonts w:eastAsia="Cambria"/>
              </w:rPr>
              <w:t>4</w:t>
            </w:r>
          </w:p>
        </w:tc>
      </w:tr>
    </w:tbl>
    <w:p w:rsidR="00C46173" w:rsidRDefault="005F0FD2" w:rsidP="00E50330">
      <w:pPr>
        <w:pStyle w:val="Heading3"/>
      </w:pPr>
      <w:r>
        <w:br/>
      </w:r>
      <w:r w:rsidR="00E50330">
        <w:t xml:space="preserve">Table 2 - </w:t>
      </w:r>
      <w:r w:rsidRPr="005F0FD2">
        <w:t>Respondents' connections to project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2353"/>
      </w:tblGrid>
      <w:tr w:rsidR="005F0FD2" w:rsidRPr="00802A52" w:rsidTr="009F1617">
        <w:trPr>
          <w:tblHeader/>
        </w:trPr>
        <w:tc>
          <w:tcPr>
            <w:tcW w:w="2296" w:type="dxa"/>
            <w:shd w:val="clear" w:color="auto" w:fill="auto"/>
          </w:tcPr>
          <w:p w:rsidR="005F0FD2" w:rsidRPr="005F0FD2" w:rsidRDefault="005F0FD2" w:rsidP="009F1617">
            <w:pPr>
              <w:pStyle w:val="TableofFigures"/>
              <w:rPr>
                <w:rFonts w:eastAsia="Cambria"/>
              </w:rPr>
            </w:pPr>
            <w:r w:rsidRPr="005F0FD2">
              <w:rPr>
                <w:rFonts w:eastAsia="Cambria"/>
              </w:rPr>
              <w:t>Resident</w:t>
            </w:r>
          </w:p>
        </w:tc>
        <w:tc>
          <w:tcPr>
            <w:tcW w:w="2353" w:type="dxa"/>
            <w:shd w:val="clear" w:color="auto" w:fill="auto"/>
          </w:tcPr>
          <w:p w:rsidR="005F0FD2" w:rsidRPr="005F0FD2" w:rsidRDefault="005F0FD2" w:rsidP="009F1617">
            <w:pPr>
              <w:pStyle w:val="TableofFigures"/>
              <w:rPr>
                <w:rFonts w:eastAsia="Cambria"/>
              </w:rPr>
            </w:pPr>
            <w:r w:rsidRPr="005F0FD2">
              <w:rPr>
                <w:rFonts w:eastAsia="Cambria"/>
              </w:rPr>
              <w:t>117</w:t>
            </w:r>
          </w:p>
        </w:tc>
      </w:tr>
      <w:tr w:rsidR="005F0FD2" w:rsidRPr="00802A52" w:rsidTr="009F1617">
        <w:tc>
          <w:tcPr>
            <w:tcW w:w="2296" w:type="dxa"/>
            <w:shd w:val="clear" w:color="auto" w:fill="auto"/>
          </w:tcPr>
          <w:p w:rsidR="005F0FD2" w:rsidRPr="00802A52" w:rsidRDefault="005F0FD2" w:rsidP="009F1617">
            <w:pPr>
              <w:pStyle w:val="TableofFigures"/>
              <w:rPr>
                <w:rFonts w:eastAsia="Cambria"/>
              </w:rPr>
            </w:pPr>
            <w:r>
              <w:rPr>
                <w:rFonts w:eastAsia="Cambria"/>
              </w:rPr>
              <w:t>Worker</w:t>
            </w:r>
          </w:p>
        </w:tc>
        <w:tc>
          <w:tcPr>
            <w:tcW w:w="2353" w:type="dxa"/>
            <w:shd w:val="clear" w:color="auto" w:fill="auto"/>
          </w:tcPr>
          <w:p w:rsidR="005F0FD2" w:rsidRPr="00802A52" w:rsidRDefault="005F0FD2" w:rsidP="009F1617">
            <w:pPr>
              <w:pStyle w:val="TableofFigures"/>
              <w:rPr>
                <w:rFonts w:eastAsia="Cambria"/>
              </w:rPr>
            </w:pPr>
            <w:r>
              <w:rPr>
                <w:rFonts w:eastAsia="Cambria"/>
              </w:rPr>
              <w:t>37</w:t>
            </w:r>
          </w:p>
        </w:tc>
      </w:tr>
      <w:tr w:rsidR="005F0FD2" w:rsidRPr="00802A52" w:rsidTr="009F1617">
        <w:tc>
          <w:tcPr>
            <w:tcW w:w="2296" w:type="dxa"/>
            <w:shd w:val="clear" w:color="auto" w:fill="auto"/>
          </w:tcPr>
          <w:p w:rsidR="005F0FD2" w:rsidRPr="00802A52" w:rsidRDefault="005F0FD2" w:rsidP="009F1617">
            <w:pPr>
              <w:pStyle w:val="TableofFigures"/>
              <w:rPr>
                <w:rFonts w:eastAsia="Cambria"/>
              </w:rPr>
            </w:pPr>
            <w:r>
              <w:rPr>
                <w:rFonts w:eastAsia="Cambria"/>
              </w:rPr>
              <w:t>Visitor</w:t>
            </w:r>
          </w:p>
        </w:tc>
        <w:tc>
          <w:tcPr>
            <w:tcW w:w="2353" w:type="dxa"/>
            <w:shd w:val="clear" w:color="auto" w:fill="auto"/>
          </w:tcPr>
          <w:p w:rsidR="005F0FD2" w:rsidRPr="00802A52" w:rsidRDefault="005F0FD2" w:rsidP="009F1617">
            <w:pPr>
              <w:pStyle w:val="TableofFigures"/>
              <w:rPr>
                <w:rFonts w:eastAsia="Cambria"/>
              </w:rPr>
            </w:pPr>
            <w:r>
              <w:rPr>
                <w:rFonts w:eastAsia="Cambria"/>
              </w:rPr>
              <w:t>28</w:t>
            </w:r>
          </w:p>
        </w:tc>
      </w:tr>
      <w:tr w:rsidR="005F0FD2" w:rsidRPr="00802A52" w:rsidTr="009F1617">
        <w:tc>
          <w:tcPr>
            <w:tcW w:w="2296" w:type="dxa"/>
            <w:shd w:val="clear" w:color="auto" w:fill="auto"/>
          </w:tcPr>
          <w:p w:rsidR="005F0FD2" w:rsidRPr="00802A52" w:rsidRDefault="005F0FD2" w:rsidP="009F1617">
            <w:pPr>
              <w:pStyle w:val="TableofFigures"/>
              <w:rPr>
                <w:rFonts w:eastAsia="Cambria"/>
              </w:rPr>
            </w:pPr>
            <w:r>
              <w:rPr>
                <w:rFonts w:eastAsia="Cambria"/>
              </w:rPr>
              <w:t>Student</w:t>
            </w:r>
          </w:p>
        </w:tc>
        <w:tc>
          <w:tcPr>
            <w:tcW w:w="2353" w:type="dxa"/>
            <w:shd w:val="clear" w:color="auto" w:fill="auto"/>
          </w:tcPr>
          <w:p w:rsidR="005F0FD2" w:rsidRPr="00802A52" w:rsidRDefault="005F0FD2" w:rsidP="009F1617">
            <w:pPr>
              <w:pStyle w:val="TableofFigures"/>
              <w:rPr>
                <w:rFonts w:eastAsia="Cambria"/>
              </w:rPr>
            </w:pPr>
            <w:r>
              <w:rPr>
                <w:rFonts w:eastAsia="Cambria"/>
              </w:rPr>
              <w:t>13</w:t>
            </w:r>
          </w:p>
        </w:tc>
      </w:tr>
      <w:tr w:rsidR="005F0FD2" w:rsidRPr="00802A52" w:rsidTr="009F1617">
        <w:tc>
          <w:tcPr>
            <w:tcW w:w="2296" w:type="dxa"/>
            <w:shd w:val="clear" w:color="auto" w:fill="auto"/>
          </w:tcPr>
          <w:p w:rsidR="005F0FD2" w:rsidRPr="00802A52" w:rsidRDefault="005F0FD2" w:rsidP="009F1617">
            <w:pPr>
              <w:pStyle w:val="TableofFigures"/>
              <w:rPr>
                <w:rFonts w:eastAsia="Cambria"/>
              </w:rPr>
            </w:pPr>
            <w:r>
              <w:rPr>
                <w:rFonts w:eastAsia="Cambria"/>
              </w:rPr>
              <w:t>Own a business</w:t>
            </w:r>
          </w:p>
        </w:tc>
        <w:tc>
          <w:tcPr>
            <w:tcW w:w="2353" w:type="dxa"/>
            <w:shd w:val="clear" w:color="auto" w:fill="auto"/>
          </w:tcPr>
          <w:p w:rsidR="005F0FD2" w:rsidRPr="00802A52" w:rsidRDefault="005F0FD2" w:rsidP="009F1617">
            <w:pPr>
              <w:pStyle w:val="TableofFigures"/>
              <w:rPr>
                <w:rFonts w:eastAsia="Cambria"/>
              </w:rPr>
            </w:pPr>
            <w:r>
              <w:rPr>
                <w:rFonts w:eastAsia="Cambria"/>
              </w:rPr>
              <w:t>6</w:t>
            </w:r>
          </w:p>
        </w:tc>
      </w:tr>
      <w:tr w:rsidR="005F0FD2" w:rsidRPr="00802A52" w:rsidTr="009F1617">
        <w:tc>
          <w:tcPr>
            <w:tcW w:w="2296" w:type="dxa"/>
            <w:shd w:val="clear" w:color="auto" w:fill="auto"/>
          </w:tcPr>
          <w:p w:rsidR="005F0FD2" w:rsidRPr="00802A52" w:rsidRDefault="005F0FD2" w:rsidP="009F1617">
            <w:pPr>
              <w:pStyle w:val="TableofFigures"/>
              <w:rPr>
                <w:rFonts w:eastAsia="Cambria"/>
              </w:rPr>
            </w:pPr>
            <w:r>
              <w:rPr>
                <w:rFonts w:eastAsia="Cambria"/>
              </w:rPr>
              <w:t>Other responses</w:t>
            </w:r>
          </w:p>
        </w:tc>
        <w:tc>
          <w:tcPr>
            <w:tcW w:w="2353" w:type="dxa"/>
            <w:shd w:val="clear" w:color="auto" w:fill="auto"/>
          </w:tcPr>
          <w:p w:rsidR="005F0FD2" w:rsidRPr="00802A52" w:rsidRDefault="005F0FD2" w:rsidP="009F1617">
            <w:pPr>
              <w:pStyle w:val="TableofFigures"/>
              <w:rPr>
                <w:rFonts w:eastAsia="Cambria"/>
              </w:rPr>
            </w:pPr>
            <w:r>
              <w:rPr>
                <w:rFonts w:eastAsia="Cambria"/>
              </w:rPr>
              <w:t>15</w:t>
            </w:r>
          </w:p>
        </w:tc>
      </w:tr>
      <w:tr w:rsidR="005F0FD2" w:rsidRPr="00802A52" w:rsidTr="009F1617">
        <w:tc>
          <w:tcPr>
            <w:tcW w:w="2296" w:type="dxa"/>
            <w:shd w:val="clear" w:color="auto" w:fill="auto"/>
          </w:tcPr>
          <w:p w:rsidR="005F0FD2" w:rsidRPr="00802A52" w:rsidRDefault="005F0FD2" w:rsidP="009F1617">
            <w:pPr>
              <w:pStyle w:val="TableofFigures"/>
              <w:rPr>
                <w:rFonts w:eastAsia="Cambria"/>
              </w:rPr>
            </w:pPr>
            <w:r>
              <w:rPr>
                <w:rFonts w:eastAsia="Cambria"/>
              </w:rPr>
              <w:t>Prefer not to say</w:t>
            </w:r>
          </w:p>
        </w:tc>
        <w:tc>
          <w:tcPr>
            <w:tcW w:w="2353" w:type="dxa"/>
            <w:shd w:val="clear" w:color="auto" w:fill="auto"/>
          </w:tcPr>
          <w:p w:rsidR="005F0FD2" w:rsidRPr="00802A52" w:rsidRDefault="005F0FD2" w:rsidP="009F1617">
            <w:pPr>
              <w:pStyle w:val="TableofFigures"/>
              <w:rPr>
                <w:rFonts w:eastAsia="Cambria"/>
              </w:rPr>
            </w:pPr>
            <w:r>
              <w:rPr>
                <w:rFonts w:eastAsia="Cambria"/>
              </w:rPr>
              <w:t>5</w:t>
            </w:r>
          </w:p>
        </w:tc>
      </w:tr>
    </w:tbl>
    <w:p w:rsidR="005F0FD2" w:rsidRDefault="005F0FD2" w:rsidP="00C46173"/>
    <w:p w:rsidR="005F0FD2" w:rsidRDefault="005F0FD2" w:rsidP="005F0FD2">
      <w:pPr>
        <w:pStyle w:val="Heading2"/>
      </w:pPr>
      <w:r>
        <w:t>What we heard</w:t>
      </w:r>
    </w:p>
    <w:p w:rsidR="005F0FD2" w:rsidRPr="005F0FD2" w:rsidRDefault="005F0FD2" w:rsidP="005F0FD2">
      <w:pPr>
        <w:rPr>
          <w:lang w:val="en-US"/>
        </w:rPr>
      </w:pPr>
      <w:r w:rsidRPr="005F0FD2">
        <w:rPr>
          <w:lang w:val="en-US"/>
        </w:rPr>
        <w:t>The most popular themes in feedback for the design and future use of Market Square and the Queen’s Corner Building were:</w:t>
      </w:r>
    </w:p>
    <w:p w:rsidR="005F0FD2" w:rsidRDefault="005F0FD2" w:rsidP="005F0FD2">
      <w:pPr>
        <w:pStyle w:val="ListParagraph"/>
        <w:numPr>
          <w:ilvl w:val="0"/>
          <w:numId w:val="20"/>
        </w:numPr>
      </w:pPr>
      <w:r w:rsidRPr="005F0FD2">
        <w:lastRenderedPageBreak/>
        <w:t>The need for any design to be flexible, scalable and not too prescriptive, allowing community members to shape how they’d like to use the space.</w:t>
      </w:r>
    </w:p>
    <w:p w:rsidR="005F0FD2" w:rsidRDefault="005F0FD2" w:rsidP="005F0FD2">
      <w:pPr>
        <w:pStyle w:val="ListParagraph"/>
        <w:numPr>
          <w:ilvl w:val="0"/>
          <w:numId w:val="20"/>
        </w:numPr>
      </w:pPr>
      <w:r w:rsidRPr="005F0FD2">
        <w:t>Simplicity in design, with plenty of green, open spaces to sit and relax.</w:t>
      </w:r>
    </w:p>
    <w:p w:rsidR="005F0FD2" w:rsidRDefault="005F0FD2" w:rsidP="005F0FD2">
      <w:pPr>
        <w:pStyle w:val="ListParagraph"/>
        <w:numPr>
          <w:ilvl w:val="0"/>
          <w:numId w:val="20"/>
        </w:numPr>
      </w:pPr>
      <w:r w:rsidRPr="005F0FD2">
        <w:t xml:space="preserve">Connection to the market, with food-related events and spaces to sit and eat produce from the market. </w:t>
      </w:r>
    </w:p>
    <w:p w:rsidR="005F0FD2" w:rsidRDefault="005F0FD2" w:rsidP="005F0FD2">
      <w:pPr>
        <w:pStyle w:val="ListParagraph"/>
        <w:numPr>
          <w:ilvl w:val="0"/>
          <w:numId w:val="20"/>
        </w:numPr>
      </w:pPr>
      <w:r w:rsidRPr="005F0FD2">
        <w:t>Respectful of heritage, through partnership with Traditional Owners, and through recognition of the colonial history of the site as Melbourne’s first cemetery.</w:t>
      </w:r>
    </w:p>
    <w:p w:rsidR="005F0FD2" w:rsidRDefault="005F0FD2" w:rsidP="005F0FD2">
      <w:pPr>
        <w:pStyle w:val="ListParagraph"/>
        <w:numPr>
          <w:ilvl w:val="0"/>
          <w:numId w:val="20"/>
        </w:numPr>
      </w:pPr>
      <w:r w:rsidRPr="005F0FD2">
        <w:t>A desire for family friendly spaces, including a playground for children.</w:t>
      </w:r>
    </w:p>
    <w:p w:rsidR="005F0FD2" w:rsidRDefault="005F0FD2" w:rsidP="005F0FD2">
      <w:pPr>
        <w:pStyle w:val="ListParagraph"/>
        <w:numPr>
          <w:ilvl w:val="0"/>
          <w:numId w:val="20"/>
        </w:numPr>
      </w:pPr>
      <w:r w:rsidRPr="005F0FD2">
        <w:t>Accessibility embedded in the design, with clear signage and amenities that enable different groups to use the space.</w:t>
      </w:r>
    </w:p>
    <w:p w:rsidR="005F0FD2" w:rsidRPr="005F0FD2" w:rsidRDefault="005F0FD2" w:rsidP="005F0FD2">
      <w:pPr>
        <w:pStyle w:val="ListParagraph"/>
        <w:numPr>
          <w:ilvl w:val="0"/>
          <w:numId w:val="20"/>
        </w:numPr>
      </w:pPr>
      <w:r w:rsidRPr="005F0FD2">
        <w:t>The chart below shows the landscaping features that survey respondents thought were most important in the future design of Market Square</w:t>
      </w:r>
      <w:r w:rsidRPr="005F0FD2">
        <w:t>.</w:t>
      </w:r>
      <w:r w:rsidRPr="005F0FD2">
        <w:br/>
      </w:r>
    </w:p>
    <w:p w:rsidR="005F0FD2" w:rsidRPr="005F0FD2" w:rsidRDefault="00E50330" w:rsidP="00E50330">
      <w:pPr>
        <w:pStyle w:val="Heading3"/>
        <w:rPr>
          <w:lang w:val="en-AU"/>
        </w:rPr>
      </w:pPr>
      <w:r>
        <w:t xml:space="preserve">Table 3 - </w:t>
      </w:r>
      <w:r w:rsidR="005F0FD2" w:rsidRPr="005F0FD2">
        <w:t>Important landscape features for Market Square</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2296"/>
        <w:gridCol w:w="2353"/>
      </w:tblGrid>
      <w:tr w:rsidR="005F0FD2" w:rsidRPr="005F0FD2" w:rsidTr="009F1617">
        <w:trPr>
          <w:tblHeader/>
        </w:trPr>
        <w:tc>
          <w:tcPr>
            <w:tcW w:w="2296" w:type="dxa"/>
            <w:shd w:val="clear" w:color="auto" w:fill="auto"/>
          </w:tcPr>
          <w:p w:rsidR="005F0FD2" w:rsidRPr="00091AF7" w:rsidRDefault="005F0FD2" w:rsidP="005F0FD2">
            <w:r w:rsidRPr="00091AF7">
              <w:t>Shade trees</w:t>
            </w:r>
          </w:p>
        </w:tc>
        <w:tc>
          <w:tcPr>
            <w:tcW w:w="2353" w:type="dxa"/>
            <w:shd w:val="clear" w:color="auto" w:fill="auto"/>
          </w:tcPr>
          <w:p w:rsidR="005F0FD2" w:rsidRPr="005F0FD2" w:rsidRDefault="005F0FD2" w:rsidP="005F0FD2">
            <w:pPr>
              <w:pStyle w:val="TableofFigures"/>
              <w:rPr>
                <w:rFonts w:eastAsia="Cambria"/>
              </w:rPr>
            </w:pPr>
            <w:r w:rsidRPr="005F0FD2">
              <w:rPr>
                <w:rFonts w:eastAsia="Cambria"/>
              </w:rPr>
              <w:t>196</w:t>
            </w:r>
          </w:p>
        </w:tc>
      </w:tr>
      <w:tr w:rsidR="005F0FD2" w:rsidRPr="00802A52" w:rsidTr="009F1617">
        <w:tc>
          <w:tcPr>
            <w:tcW w:w="2296" w:type="dxa"/>
            <w:shd w:val="clear" w:color="auto" w:fill="auto"/>
          </w:tcPr>
          <w:p w:rsidR="005F0FD2" w:rsidRPr="00091AF7" w:rsidRDefault="005F0FD2" w:rsidP="005F0FD2">
            <w:r w:rsidRPr="00091AF7">
              <w:t>Place to sit</w:t>
            </w:r>
          </w:p>
        </w:tc>
        <w:tc>
          <w:tcPr>
            <w:tcW w:w="2353" w:type="dxa"/>
            <w:shd w:val="clear" w:color="auto" w:fill="auto"/>
          </w:tcPr>
          <w:p w:rsidR="005F0FD2" w:rsidRPr="00802A52" w:rsidRDefault="005F0FD2" w:rsidP="005F0FD2">
            <w:pPr>
              <w:pStyle w:val="TableofFigures"/>
              <w:rPr>
                <w:rFonts w:eastAsia="Cambria"/>
              </w:rPr>
            </w:pPr>
            <w:r w:rsidRPr="005F0FD2">
              <w:rPr>
                <w:rFonts w:eastAsia="Cambria"/>
              </w:rPr>
              <w:t>183</w:t>
            </w:r>
          </w:p>
        </w:tc>
      </w:tr>
      <w:tr w:rsidR="005F0FD2" w:rsidRPr="00802A52" w:rsidTr="009F1617">
        <w:tc>
          <w:tcPr>
            <w:tcW w:w="2296" w:type="dxa"/>
            <w:shd w:val="clear" w:color="auto" w:fill="auto"/>
          </w:tcPr>
          <w:p w:rsidR="005F0FD2" w:rsidRPr="00091AF7" w:rsidRDefault="005F0FD2" w:rsidP="005F0FD2">
            <w:r w:rsidRPr="00091AF7">
              <w:t>Indigenous planting</w:t>
            </w:r>
          </w:p>
        </w:tc>
        <w:tc>
          <w:tcPr>
            <w:tcW w:w="2353" w:type="dxa"/>
            <w:shd w:val="clear" w:color="auto" w:fill="auto"/>
          </w:tcPr>
          <w:p w:rsidR="005F0FD2" w:rsidRPr="00802A52" w:rsidRDefault="005F0FD2" w:rsidP="005F0FD2">
            <w:pPr>
              <w:pStyle w:val="TableofFigures"/>
              <w:rPr>
                <w:rFonts w:eastAsia="Cambria"/>
              </w:rPr>
            </w:pPr>
            <w:r w:rsidRPr="005F0FD2">
              <w:rPr>
                <w:rFonts w:eastAsia="Cambria"/>
              </w:rPr>
              <w:t>140</w:t>
            </w:r>
          </w:p>
        </w:tc>
      </w:tr>
      <w:tr w:rsidR="005F0FD2" w:rsidRPr="00802A52" w:rsidTr="009F1617">
        <w:tc>
          <w:tcPr>
            <w:tcW w:w="2296" w:type="dxa"/>
            <w:shd w:val="clear" w:color="auto" w:fill="auto"/>
          </w:tcPr>
          <w:p w:rsidR="005F0FD2" w:rsidRPr="00091AF7" w:rsidRDefault="005F0FD2" w:rsidP="005F0FD2">
            <w:r w:rsidRPr="00091AF7">
              <w:t>Grass</w:t>
            </w:r>
          </w:p>
        </w:tc>
        <w:tc>
          <w:tcPr>
            <w:tcW w:w="2353" w:type="dxa"/>
            <w:shd w:val="clear" w:color="auto" w:fill="auto"/>
          </w:tcPr>
          <w:p w:rsidR="005F0FD2" w:rsidRPr="00802A52" w:rsidRDefault="005F0FD2" w:rsidP="005F0FD2">
            <w:pPr>
              <w:pStyle w:val="TableofFigures"/>
              <w:rPr>
                <w:rFonts w:eastAsia="Cambria"/>
              </w:rPr>
            </w:pPr>
            <w:r w:rsidRPr="005F0FD2">
              <w:rPr>
                <w:rFonts w:eastAsia="Cambria"/>
              </w:rPr>
              <w:t>136</w:t>
            </w:r>
          </w:p>
        </w:tc>
      </w:tr>
      <w:tr w:rsidR="005F0FD2" w:rsidRPr="00802A52" w:rsidTr="009F1617">
        <w:tc>
          <w:tcPr>
            <w:tcW w:w="2296" w:type="dxa"/>
            <w:shd w:val="clear" w:color="auto" w:fill="auto"/>
          </w:tcPr>
          <w:p w:rsidR="005F0FD2" w:rsidRPr="00091AF7" w:rsidRDefault="005F0FD2" w:rsidP="005F0FD2">
            <w:r w:rsidRPr="00091AF7">
              <w:t>Water Fountains</w:t>
            </w:r>
          </w:p>
        </w:tc>
        <w:tc>
          <w:tcPr>
            <w:tcW w:w="2353" w:type="dxa"/>
            <w:shd w:val="clear" w:color="auto" w:fill="auto"/>
          </w:tcPr>
          <w:p w:rsidR="005F0FD2" w:rsidRPr="00802A52" w:rsidRDefault="005F0FD2" w:rsidP="005F0FD2">
            <w:pPr>
              <w:pStyle w:val="TableofFigures"/>
              <w:rPr>
                <w:rFonts w:eastAsia="Cambria"/>
              </w:rPr>
            </w:pPr>
            <w:r w:rsidRPr="005F0FD2">
              <w:rPr>
                <w:rFonts w:eastAsia="Cambria"/>
              </w:rPr>
              <w:t>126</w:t>
            </w:r>
          </w:p>
        </w:tc>
      </w:tr>
      <w:tr w:rsidR="005F0FD2" w:rsidRPr="00802A52" w:rsidTr="009F1617">
        <w:tc>
          <w:tcPr>
            <w:tcW w:w="2296" w:type="dxa"/>
            <w:shd w:val="clear" w:color="auto" w:fill="auto"/>
          </w:tcPr>
          <w:p w:rsidR="005F0FD2" w:rsidRPr="00091AF7" w:rsidRDefault="005F0FD2" w:rsidP="005F0FD2">
            <w:r w:rsidRPr="00091AF7">
              <w:t>Shrubs</w:t>
            </w:r>
          </w:p>
        </w:tc>
        <w:tc>
          <w:tcPr>
            <w:tcW w:w="2353" w:type="dxa"/>
            <w:shd w:val="clear" w:color="auto" w:fill="auto"/>
          </w:tcPr>
          <w:p w:rsidR="005F0FD2" w:rsidRPr="00802A52" w:rsidRDefault="005F0FD2" w:rsidP="005F0FD2">
            <w:pPr>
              <w:pStyle w:val="TableofFigures"/>
              <w:rPr>
                <w:rFonts w:eastAsia="Cambria"/>
              </w:rPr>
            </w:pPr>
            <w:r w:rsidRPr="005F0FD2">
              <w:rPr>
                <w:rFonts w:eastAsia="Cambria"/>
              </w:rPr>
              <w:t>125</w:t>
            </w:r>
          </w:p>
        </w:tc>
      </w:tr>
      <w:tr w:rsidR="005F0FD2" w:rsidRPr="00802A52" w:rsidTr="009F1617">
        <w:tc>
          <w:tcPr>
            <w:tcW w:w="2296" w:type="dxa"/>
            <w:shd w:val="clear" w:color="auto" w:fill="auto"/>
          </w:tcPr>
          <w:p w:rsidR="005F0FD2" w:rsidRPr="00091AF7" w:rsidRDefault="005F0FD2" w:rsidP="005F0FD2">
            <w:r w:rsidRPr="00091AF7">
              <w:t>Public toilets</w:t>
            </w:r>
          </w:p>
        </w:tc>
        <w:tc>
          <w:tcPr>
            <w:tcW w:w="2353" w:type="dxa"/>
            <w:shd w:val="clear" w:color="auto" w:fill="auto"/>
          </w:tcPr>
          <w:p w:rsidR="005F0FD2" w:rsidRPr="00802A52" w:rsidRDefault="005F0FD2" w:rsidP="005F0FD2">
            <w:pPr>
              <w:pStyle w:val="TableofFigures"/>
              <w:rPr>
                <w:rFonts w:eastAsia="Cambria"/>
              </w:rPr>
            </w:pPr>
            <w:r w:rsidRPr="005F0FD2">
              <w:rPr>
                <w:rFonts w:eastAsia="Cambria"/>
              </w:rPr>
              <w:t>124</w:t>
            </w:r>
          </w:p>
        </w:tc>
      </w:tr>
      <w:tr w:rsidR="005F0FD2" w:rsidRPr="00802A52" w:rsidTr="009F1617">
        <w:tc>
          <w:tcPr>
            <w:tcW w:w="2296" w:type="dxa"/>
            <w:shd w:val="clear" w:color="auto" w:fill="auto"/>
          </w:tcPr>
          <w:p w:rsidR="005F0FD2" w:rsidRPr="00091AF7" w:rsidRDefault="005F0FD2" w:rsidP="005F0FD2">
            <w:r w:rsidRPr="00091AF7">
              <w:t>Walking track</w:t>
            </w:r>
          </w:p>
        </w:tc>
        <w:tc>
          <w:tcPr>
            <w:tcW w:w="2353" w:type="dxa"/>
            <w:shd w:val="clear" w:color="auto" w:fill="auto"/>
          </w:tcPr>
          <w:p w:rsidR="005F0FD2" w:rsidRDefault="005F0FD2" w:rsidP="005F0FD2">
            <w:pPr>
              <w:pStyle w:val="TableofFigures"/>
              <w:rPr>
                <w:rFonts w:eastAsia="Cambria"/>
              </w:rPr>
            </w:pPr>
            <w:r w:rsidRPr="005F0FD2">
              <w:rPr>
                <w:rFonts w:eastAsia="Cambria"/>
              </w:rPr>
              <w:t>85</w:t>
            </w:r>
          </w:p>
        </w:tc>
      </w:tr>
      <w:tr w:rsidR="005F0FD2" w:rsidRPr="00802A52" w:rsidTr="005F0FD2">
        <w:trPr>
          <w:trHeight w:val="14"/>
        </w:trPr>
        <w:tc>
          <w:tcPr>
            <w:tcW w:w="2296" w:type="dxa"/>
            <w:shd w:val="clear" w:color="auto" w:fill="auto"/>
          </w:tcPr>
          <w:p w:rsidR="005F0FD2" w:rsidRPr="00091AF7" w:rsidRDefault="005F0FD2" w:rsidP="005F0FD2">
            <w:r w:rsidRPr="00091AF7">
              <w:t>Hard surfaces</w:t>
            </w:r>
          </w:p>
        </w:tc>
        <w:tc>
          <w:tcPr>
            <w:tcW w:w="2353" w:type="dxa"/>
            <w:shd w:val="clear" w:color="auto" w:fill="auto"/>
          </w:tcPr>
          <w:p w:rsidR="005F0FD2" w:rsidRDefault="005F0FD2" w:rsidP="005F0FD2">
            <w:pPr>
              <w:pStyle w:val="TableofFigures"/>
              <w:rPr>
                <w:rFonts w:eastAsia="Cambria"/>
              </w:rPr>
            </w:pPr>
            <w:r w:rsidRPr="005F0FD2">
              <w:rPr>
                <w:rFonts w:eastAsia="Cambria"/>
              </w:rPr>
              <w:t>55</w:t>
            </w:r>
          </w:p>
        </w:tc>
      </w:tr>
      <w:tr w:rsidR="005F0FD2" w:rsidRPr="00802A52" w:rsidTr="009F1617">
        <w:tc>
          <w:tcPr>
            <w:tcW w:w="2296" w:type="dxa"/>
            <w:shd w:val="clear" w:color="auto" w:fill="auto"/>
          </w:tcPr>
          <w:p w:rsidR="005F0FD2" w:rsidRDefault="005F0FD2" w:rsidP="005F0FD2">
            <w:r w:rsidRPr="00091AF7">
              <w:t>Other</w:t>
            </w:r>
          </w:p>
        </w:tc>
        <w:tc>
          <w:tcPr>
            <w:tcW w:w="2353" w:type="dxa"/>
            <w:shd w:val="clear" w:color="auto" w:fill="auto"/>
          </w:tcPr>
          <w:p w:rsidR="005F0FD2" w:rsidRDefault="005F0FD2" w:rsidP="005F0FD2">
            <w:pPr>
              <w:pStyle w:val="TableofFigures"/>
              <w:rPr>
                <w:rFonts w:eastAsia="Cambria"/>
              </w:rPr>
            </w:pPr>
            <w:r w:rsidRPr="005F0FD2">
              <w:rPr>
                <w:rFonts w:eastAsia="Cambria"/>
              </w:rPr>
              <w:t>43</w:t>
            </w:r>
          </w:p>
        </w:tc>
      </w:tr>
    </w:tbl>
    <w:p w:rsidR="005F0FD2" w:rsidRDefault="005F0FD2" w:rsidP="005F0FD2"/>
    <w:p w:rsidR="005F0FD2" w:rsidRPr="005F0FD2" w:rsidRDefault="005F0FD2" w:rsidP="005F0FD2">
      <w:pPr>
        <w:rPr>
          <w:lang w:val="en-US"/>
        </w:rPr>
      </w:pPr>
      <w:r w:rsidRPr="005F0FD2">
        <w:rPr>
          <w:lang w:val="en-US"/>
        </w:rPr>
        <w:t>We also asked participants about their desired landscaping, features, future use of space and ways to get around Market Square and its precinct. More detail about this is provided below.</w:t>
      </w:r>
    </w:p>
    <w:p w:rsidR="005F0FD2" w:rsidRPr="005F0FD2" w:rsidRDefault="005F0FD2" w:rsidP="00E50330">
      <w:pPr>
        <w:pStyle w:val="Bold"/>
        <w:rPr>
          <w:lang w:val="en-US"/>
        </w:rPr>
      </w:pPr>
      <w:r w:rsidRPr="005F0FD2">
        <w:rPr>
          <w:lang w:val="en-US"/>
        </w:rPr>
        <w:t>Landscaping and features</w:t>
      </w:r>
    </w:p>
    <w:p w:rsidR="005F0FD2" w:rsidRDefault="005F0FD2" w:rsidP="005F0FD2">
      <w:pPr>
        <w:rPr>
          <w:lang w:val="en-US"/>
        </w:rPr>
      </w:pPr>
      <w:r>
        <w:rPr>
          <w:lang w:val="en-US"/>
        </w:rPr>
        <w:t>People want to see:</w:t>
      </w:r>
    </w:p>
    <w:p w:rsidR="005F0FD2" w:rsidRDefault="005F0FD2" w:rsidP="005F0FD2">
      <w:pPr>
        <w:pStyle w:val="ListParagraph"/>
        <w:numPr>
          <w:ilvl w:val="0"/>
          <w:numId w:val="19"/>
        </w:numPr>
      </w:pPr>
      <w:r w:rsidRPr="005F0FD2">
        <w:t>Trees for shade.</w:t>
      </w:r>
    </w:p>
    <w:p w:rsidR="005F0FD2" w:rsidRDefault="005F0FD2" w:rsidP="005F0FD2">
      <w:pPr>
        <w:pStyle w:val="ListParagraph"/>
        <w:numPr>
          <w:ilvl w:val="0"/>
          <w:numId w:val="19"/>
        </w:numPr>
      </w:pPr>
      <w:r w:rsidRPr="005F0FD2">
        <w:t>Grassy, open areas for relaxing.</w:t>
      </w:r>
    </w:p>
    <w:p w:rsidR="005F0FD2" w:rsidRDefault="005F0FD2" w:rsidP="005F0FD2">
      <w:pPr>
        <w:pStyle w:val="ListParagraph"/>
        <w:numPr>
          <w:ilvl w:val="0"/>
          <w:numId w:val="19"/>
        </w:numPr>
      </w:pPr>
      <w:r w:rsidRPr="005F0FD2">
        <w:t>Picnic, barbecue and dining areas.</w:t>
      </w:r>
    </w:p>
    <w:p w:rsidR="005F0FD2" w:rsidRDefault="005F0FD2" w:rsidP="005F0FD2">
      <w:pPr>
        <w:pStyle w:val="ListParagraph"/>
        <w:numPr>
          <w:ilvl w:val="0"/>
          <w:numId w:val="19"/>
        </w:numPr>
      </w:pPr>
      <w:r w:rsidRPr="005F0FD2">
        <w:t>Water fountains to attract ducks and wildlife.</w:t>
      </w:r>
    </w:p>
    <w:p w:rsidR="005F0FD2" w:rsidRDefault="005F0FD2" w:rsidP="005F0FD2">
      <w:pPr>
        <w:pStyle w:val="ListParagraph"/>
        <w:numPr>
          <w:ilvl w:val="0"/>
          <w:numId w:val="19"/>
        </w:numPr>
      </w:pPr>
      <w:r w:rsidRPr="005F0FD2">
        <w:lastRenderedPageBreak/>
        <w:t xml:space="preserve">Accessible toilets with baby-changing facilities. </w:t>
      </w:r>
    </w:p>
    <w:p w:rsidR="005F0FD2" w:rsidRDefault="005F0FD2" w:rsidP="005F0FD2">
      <w:pPr>
        <w:pStyle w:val="ListParagraph"/>
        <w:numPr>
          <w:ilvl w:val="0"/>
          <w:numId w:val="19"/>
        </w:numPr>
      </w:pPr>
      <w:r w:rsidRPr="005F0FD2">
        <w:t xml:space="preserve">Playground and play equipment. </w:t>
      </w:r>
    </w:p>
    <w:p w:rsidR="005F0FD2" w:rsidRDefault="005F0FD2" w:rsidP="005F0FD2">
      <w:pPr>
        <w:pStyle w:val="ListParagraph"/>
        <w:numPr>
          <w:ilvl w:val="0"/>
          <w:numId w:val="19"/>
        </w:numPr>
      </w:pPr>
      <w:r w:rsidRPr="005F0FD2">
        <w:t>Exercise and fitness equipment (including rock climbing).</w:t>
      </w:r>
    </w:p>
    <w:p w:rsidR="005F0FD2" w:rsidRDefault="005F0FD2" w:rsidP="005F0FD2">
      <w:pPr>
        <w:pStyle w:val="ListParagraph"/>
        <w:numPr>
          <w:ilvl w:val="0"/>
          <w:numId w:val="19"/>
        </w:numPr>
      </w:pPr>
      <w:r w:rsidRPr="005F0FD2">
        <w:t>Movement and access</w:t>
      </w:r>
    </w:p>
    <w:p w:rsidR="005F0FD2" w:rsidRDefault="005F0FD2" w:rsidP="005F0FD2"/>
    <w:p w:rsidR="005F0FD2" w:rsidRDefault="005F0FD2" w:rsidP="00E50330">
      <w:pPr>
        <w:pStyle w:val="Bold"/>
      </w:pPr>
      <w:r w:rsidRPr="005F0FD2">
        <w:t>Things that will be important for better movement and access are:</w:t>
      </w:r>
    </w:p>
    <w:p w:rsidR="005F0FD2" w:rsidRDefault="005F0FD2" w:rsidP="005F0FD2">
      <w:pPr>
        <w:pStyle w:val="ListParagraph"/>
        <w:numPr>
          <w:ilvl w:val="0"/>
          <w:numId w:val="19"/>
        </w:numPr>
      </w:pPr>
      <w:r w:rsidRPr="005F0FD2">
        <w:t>Balancing hard landscaped paths that allow prams, wheelchairs and market trolleys with adequate open space and natural surfaces.</w:t>
      </w:r>
    </w:p>
    <w:p w:rsidR="005F0FD2" w:rsidRDefault="005F0FD2" w:rsidP="005F0FD2">
      <w:pPr>
        <w:pStyle w:val="ListParagraph"/>
        <w:numPr>
          <w:ilvl w:val="0"/>
          <w:numId w:val="19"/>
        </w:numPr>
      </w:pPr>
      <w:r w:rsidRPr="005F0FD2">
        <w:t>Pathways to follow the layout of the original cemetery, rather than over the existing burials.</w:t>
      </w:r>
    </w:p>
    <w:p w:rsidR="005F0FD2" w:rsidRPr="005F0FD2" w:rsidRDefault="005F0FD2" w:rsidP="005F0FD2">
      <w:pPr>
        <w:pStyle w:val="ListParagraph"/>
        <w:numPr>
          <w:ilvl w:val="0"/>
          <w:numId w:val="19"/>
        </w:numPr>
      </w:pPr>
      <w:r w:rsidRPr="005F0FD2">
        <w:t>Cycling infrastructure including secure bike racks, repair facilities and pumps and clear signage.</w:t>
      </w:r>
    </w:p>
    <w:p w:rsidR="005F0FD2" w:rsidRDefault="005F0FD2" w:rsidP="005F0FD2">
      <w:pPr>
        <w:pStyle w:val="Heading2"/>
      </w:pPr>
      <w:r w:rsidRPr="00C63FFD">
        <w:t>Future uses</w:t>
      </w:r>
    </w:p>
    <w:p w:rsidR="005F0FD2" w:rsidRPr="005F0FD2" w:rsidRDefault="005F0FD2" w:rsidP="005F0FD2">
      <w:pPr>
        <w:rPr>
          <w:lang w:val="en-US"/>
        </w:rPr>
      </w:pPr>
      <w:r w:rsidRPr="005F0FD2">
        <w:rPr>
          <w:lang w:val="en-US"/>
        </w:rPr>
        <w:t>The key themes from the community about their desired future use of the space were:</w:t>
      </w:r>
    </w:p>
    <w:p w:rsidR="005F0FD2" w:rsidRDefault="005F0FD2" w:rsidP="005F0FD2">
      <w:pPr>
        <w:pStyle w:val="ListParagraph"/>
        <w:numPr>
          <w:ilvl w:val="0"/>
          <w:numId w:val="18"/>
        </w:numPr>
      </w:pPr>
      <w:r w:rsidRPr="005F0FD2">
        <w:t>Community members are excited at the creation of new open space in the area and the opportunities for the future.</w:t>
      </w:r>
    </w:p>
    <w:p w:rsidR="005F0FD2" w:rsidRDefault="005F0FD2" w:rsidP="005F0FD2">
      <w:pPr>
        <w:pStyle w:val="ListParagraph"/>
        <w:numPr>
          <w:ilvl w:val="0"/>
          <w:numId w:val="18"/>
        </w:numPr>
      </w:pPr>
      <w:r w:rsidRPr="005F0FD2">
        <w:t>People want events relating to the markets purpose, including food and wine events.</w:t>
      </w:r>
    </w:p>
    <w:p w:rsidR="005F0FD2" w:rsidRDefault="005F0FD2" w:rsidP="005F0FD2">
      <w:pPr>
        <w:pStyle w:val="ListParagraph"/>
        <w:numPr>
          <w:ilvl w:val="0"/>
          <w:numId w:val="18"/>
        </w:numPr>
      </w:pPr>
      <w:r w:rsidRPr="005F0FD2">
        <w:t>There is a desire for artwork and storytelling incorporated into landscape features and public art, especially Traditional Owner</w:t>
      </w:r>
      <w:r>
        <w:t>-led artworks and storytelling.</w:t>
      </w:r>
    </w:p>
    <w:p w:rsidR="005F0FD2" w:rsidRPr="005F0FD2" w:rsidRDefault="005F0FD2" w:rsidP="005F0FD2">
      <w:pPr>
        <w:pStyle w:val="ListParagraph"/>
        <w:numPr>
          <w:ilvl w:val="0"/>
          <w:numId w:val="18"/>
        </w:numPr>
      </w:pPr>
      <w:r w:rsidRPr="005F0FD2">
        <w:t>Some residents expressed concern about additional noise, congestion, traffic and the reduction in accessibility through the precinct, if Market Square and QCB were primarily used as events spaces. Only a small number of participants shared concern about the loss of the open air-car park.</w:t>
      </w:r>
    </w:p>
    <w:p w:rsidR="005F0FD2" w:rsidRDefault="005F0FD2" w:rsidP="005F0FD2">
      <w:pPr>
        <w:pStyle w:val="Heading2"/>
      </w:pPr>
      <w:r>
        <w:t>Next steps</w:t>
      </w:r>
    </w:p>
    <w:p w:rsidR="004A26E3" w:rsidRPr="005F0FD2" w:rsidRDefault="005F0FD2" w:rsidP="005F0FD2">
      <w:pPr>
        <w:rPr>
          <w:lang w:val="en-US"/>
        </w:rPr>
      </w:pPr>
      <w:r w:rsidRPr="005F0FD2">
        <w:rPr>
          <w:lang w:val="en-US"/>
        </w:rPr>
        <w:t>The City of Melbourne will review and incorporate community feedback into the next stage which involves the commencement of the concept design process for Market Square and QCB.  When prepared, draft designs will be shared with the community for a second round of consultation.</w:t>
      </w:r>
      <w:bookmarkEnd w:id="15"/>
      <w:bookmarkEnd w:id="16"/>
    </w:p>
    <w:sectPr w:rsidR="004A26E3" w:rsidRPr="005F0FD2"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415" w:rsidRDefault="00C04415" w:rsidP="00BC719D">
      <w:pPr>
        <w:spacing w:after="0"/>
      </w:pPr>
      <w:r>
        <w:separator/>
      </w:r>
    </w:p>
  </w:endnote>
  <w:endnote w:type="continuationSeparator" w:id="0">
    <w:p w:rsidR="00C04415" w:rsidRDefault="00C04415"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415" w:rsidRDefault="00C04415" w:rsidP="00577A39">
      <w:pPr>
        <w:spacing w:after="40" w:line="240" w:lineRule="auto"/>
      </w:pPr>
      <w:r>
        <w:separator/>
      </w:r>
    </w:p>
  </w:footnote>
  <w:footnote w:type="continuationSeparator" w:id="0">
    <w:p w:rsidR="00C04415" w:rsidRDefault="00C04415"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4" w15:restartNumberingAfterBreak="0">
    <w:nsid w:val="18BE765A"/>
    <w:multiLevelType w:val="hybridMultilevel"/>
    <w:tmpl w:val="445A9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8AB64BB"/>
    <w:multiLevelType w:val="hybridMultilevel"/>
    <w:tmpl w:val="62ACC6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A2B5D1C"/>
    <w:multiLevelType w:val="multilevel"/>
    <w:tmpl w:val="16506B6C"/>
    <w:numStyleLink w:val="ListNumbers"/>
  </w:abstractNum>
  <w:abstractNum w:abstractNumId="8"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C10957"/>
    <w:multiLevelType w:val="multilevel"/>
    <w:tmpl w:val="16506B6C"/>
    <w:numStyleLink w:val="ListNumbers"/>
  </w:abstractNum>
  <w:abstractNum w:abstractNumId="10"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35F6FBC"/>
    <w:multiLevelType w:val="hybridMultilevel"/>
    <w:tmpl w:val="B96CD1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43F1015"/>
    <w:multiLevelType w:val="hybridMultilevel"/>
    <w:tmpl w:val="6B562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1209CA"/>
    <w:multiLevelType w:val="multilevel"/>
    <w:tmpl w:val="16506B6C"/>
    <w:numStyleLink w:val="ListNumbers"/>
  </w:abstractNum>
  <w:abstractNum w:abstractNumId="14" w15:restartNumberingAfterBreak="0">
    <w:nsid w:val="7A2C43DC"/>
    <w:multiLevelType w:val="multilevel"/>
    <w:tmpl w:val="16506B6C"/>
    <w:numStyleLink w:val="ListNumbers"/>
  </w:abstractNum>
  <w:abstractNum w:abstractNumId="15"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3"/>
  </w:num>
  <w:num w:numId="2">
    <w:abstractNumId w:val="5"/>
  </w:num>
  <w:num w:numId="3">
    <w:abstractNumId w:val="14"/>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num>
  <w:num w:numId="9">
    <w:abstractNumId w:val="9"/>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8"/>
  </w:num>
  <w:num w:numId="13">
    <w:abstractNumId w:val="10"/>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6"/>
  </w:num>
  <w:num w:numId="18">
    <w:abstractNumId w:val="4"/>
  </w:num>
  <w:num w:numId="19">
    <w:abstractNumId w:val="12"/>
  </w:num>
  <w:num w:numId="2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415"/>
    <w:rsid w:val="00020B35"/>
    <w:rsid w:val="000437C5"/>
    <w:rsid w:val="000474AE"/>
    <w:rsid w:val="00071857"/>
    <w:rsid w:val="000A2BDA"/>
    <w:rsid w:val="000A48D5"/>
    <w:rsid w:val="000B5EAA"/>
    <w:rsid w:val="000F3535"/>
    <w:rsid w:val="00190B0E"/>
    <w:rsid w:val="001B51BF"/>
    <w:rsid w:val="001F46B4"/>
    <w:rsid w:val="001F554D"/>
    <w:rsid w:val="002436A6"/>
    <w:rsid w:val="002438B7"/>
    <w:rsid w:val="0024773F"/>
    <w:rsid w:val="002D630D"/>
    <w:rsid w:val="002E4153"/>
    <w:rsid w:val="002F47B6"/>
    <w:rsid w:val="002F6A88"/>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D30BA"/>
    <w:rsid w:val="005F0FD2"/>
    <w:rsid w:val="005F4391"/>
    <w:rsid w:val="00687D4A"/>
    <w:rsid w:val="006A2F63"/>
    <w:rsid w:val="006A3718"/>
    <w:rsid w:val="006C7F7B"/>
    <w:rsid w:val="00712950"/>
    <w:rsid w:val="00715B3E"/>
    <w:rsid w:val="0073401D"/>
    <w:rsid w:val="007361D8"/>
    <w:rsid w:val="00737A99"/>
    <w:rsid w:val="00782E37"/>
    <w:rsid w:val="0079308F"/>
    <w:rsid w:val="007A0AA6"/>
    <w:rsid w:val="007E291E"/>
    <w:rsid w:val="007F0661"/>
    <w:rsid w:val="00802A52"/>
    <w:rsid w:val="00806F0F"/>
    <w:rsid w:val="00831224"/>
    <w:rsid w:val="00850D66"/>
    <w:rsid w:val="00855F84"/>
    <w:rsid w:val="00881C97"/>
    <w:rsid w:val="008D2DDA"/>
    <w:rsid w:val="008E2476"/>
    <w:rsid w:val="009043FC"/>
    <w:rsid w:val="009050C6"/>
    <w:rsid w:val="0091365A"/>
    <w:rsid w:val="00955E32"/>
    <w:rsid w:val="0097181E"/>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4415"/>
    <w:rsid w:val="00C05740"/>
    <w:rsid w:val="00C07190"/>
    <w:rsid w:val="00C14F9F"/>
    <w:rsid w:val="00C2007C"/>
    <w:rsid w:val="00C37F6A"/>
    <w:rsid w:val="00C42412"/>
    <w:rsid w:val="00C46173"/>
    <w:rsid w:val="00C73DA2"/>
    <w:rsid w:val="00CA3730"/>
    <w:rsid w:val="00CB6145"/>
    <w:rsid w:val="00CD382D"/>
    <w:rsid w:val="00D00427"/>
    <w:rsid w:val="00D02C4A"/>
    <w:rsid w:val="00D77363"/>
    <w:rsid w:val="00E4646D"/>
    <w:rsid w:val="00E50330"/>
    <w:rsid w:val="00E5089C"/>
    <w:rsid w:val="00E86DCD"/>
    <w:rsid w:val="00E94A1C"/>
    <w:rsid w:val="00EA2130"/>
    <w:rsid w:val="00EC4AF9"/>
    <w:rsid w:val="00ED7629"/>
    <w:rsid w:val="00EF11AE"/>
    <w:rsid w:val="00F03DF7"/>
    <w:rsid w:val="00F07FBE"/>
    <w:rsid w:val="00F24B46"/>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97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227609-EC18-498B-9454-03314A07E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4</Pages>
  <Words>800</Words>
  <Characters>4561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2023-12-13T00:43:00Z</dcterms:created>
  <dcterms:modified xsi:type="dcterms:W3CDTF">2023-12-13T01:22:00Z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20231213114826730</vt:lpwstr>
  </property>
</Properties>
</file>