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F7B46" w14:textId="7A0DBFF9" w:rsidR="005C1EE8" w:rsidRPr="00A23E4D" w:rsidRDefault="005C1EE8" w:rsidP="00C36FA9">
      <w:pPr>
        <w:spacing w:before="65"/>
        <w:ind w:right="1324"/>
        <w:rPr>
          <w:rFonts w:ascii="Arial"/>
          <w:i/>
          <w:sz w:val="24"/>
          <w:szCs w:val="24"/>
        </w:rPr>
      </w:pPr>
      <w:r w:rsidRPr="00A23E4D">
        <w:rPr>
          <w:rFonts w:ascii="Arial"/>
          <w:i/>
          <w:sz w:val="24"/>
          <w:szCs w:val="24"/>
        </w:rPr>
        <w:t>Planning and Environment Act 1987</w:t>
      </w:r>
    </w:p>
    <w:p w14:paraId="58364AB3" w14:textId="1EBBE65D" w:rsidR="00A23E4D" w:rsidRPr="00A23E4D" w:rsidRDefault="00A23E4D" w:rsidP="00C36FA9">
      <w:pPr>
        <w:pStyle w:val="Heading1"/>
        <w:rPr>
          <w:rFonts w:ascii="Arial" w:hAnsi="Arial" w:cs="Arial"/>
          <w:b/>
          <w:color w:val="auto"/>
          <w:sz w:val="36"/>
          <w:szCs w:val="36"/>
        </w:rPr>
      </w:pPr>
      <w:bookmarkStart w:id="0" w:name="[insert_planning_scheme_name]_PLANNING_S"/>
      <w:bookmarkStart w:id="1" w:name="AMENDMENT_C[insert_amendment_number]"/>
      <w:bookmarkEnd w:id="0"/>
      <w:bookmarkEnd w:id="1"/>
      <w:r>
        <w:rPr>
          <w:rFonts w:ascii="Arial" w:hAnsi="Arial" w:cs="Arial"/>
          <w:b/>
          <w:color w:val="auto"/>
          <w:sz w:val="36"/>
          <w:szCs w:val="36"/>
        </w:rPr>
        <w:t>Melbourne</w:t>
      </w:r>
      <w:r w:rsidRPr="00A23E4D">
        <w:rPr>
          <w:rFonts w:ascii="Arial" w:hAnsi="Arial" w:cs="Arial"/>
          <w:b/>
          <w:color w:val="auto"/>
          <w:sz w:val="36"/>
          <w:szCs w:val="36"/>
        </w:rPr>
        <w:t xml:space="preserve"> Planning Scheme</w:t>
      </w:r>
    </w:p>
    <w:p w14:paraId="35DC9550" w14:textId="0209060B" w:rsidR="00A23E4D" w:rsidRPr="00A23E4D" w:rsidRDefault="00A23E4D" w:rsidP="00C36FA9">
      <w:pPr>
        <w:pStyle w:val="Heading1"/>
        <w:rPr>
          <w:rFonts w:ascii="Arial" w:hAnsi="Arial" w:cs="Arial"/>
          <w:b/>
          <w:color w:val="auto"/>
          <w:sz w:val="36"/>
          <w:szCs w:val="36"/>
        </w:rPr>
      </w:pPr>
      <w:r w:rsidRPr="00A23E4D">
        <w:rPr>
          <w:rFonts w:ascii="Arial" w:hAnsi="Arial" w:cs="Arial"/>
          <w:b/>
          <w:color w:val="auto"/>
          <w:sz w:val="36"/>
          <w:szCs w:val="36"/>
        </w:rPr>
        <w:t>Amendment C</w:t>
      </w:r>
      <w:r w:rsidRPr="00112227">
        <w:rPr>
          <w:rFonts w:ascii="Arial" w:hAnsi="Arial" w:cs="Arial"/>
          <w:b/>
          <w:color w:val="auto"/>
          <w:sz w:val="36"/>
          <w:szCs w:val="36"/>
        </w:rPr>
        <w:t>447</w:t>
      </w:r>
      <w:r w:rsidR="00DE75A4">
        <w:rPr>
          <w:rFonts w:ascii="Arial" w:hAnsi="Arial" w:cs="Arial"/>
          <w:b/>
          <w:color w:val="auto"/>
          <w:sz w:val="36"/>
          <w:szCs w:val="36"/>
        </w:rPr>
        <w:t>melb</w:t>
      </w:r>
    </w:p>
    <w:p w14:paraId="6EC431C6" w14:textId="77777777" w:rsidR="00A23E4D" w:rsidRPr="00A23E4D" w:rsidRDefault="00A23E4D" w:rsidP="00C36FA9">
      <w:pPr>
        <w:pStyle w:val="Heading1"/>
        <w:rPr>
          <w:rFonts w:ascii="Arial" w:hAnsi="Arial" w:cs="Arial"/>
          <w:b/>
          <w:color w:val="auto"/>
          <w:sz w:val="36"/>
          <w:szCs w:val="36"/>
        </w:rPr>
      </w:pPr>
      <w:r w:rsidRPr="00A23E4D">
        <w:rPr>
          <w:rFonts w:ascii="Arial" w:hAnsi="Arial" w:cs="Arial"/>
          <w:b/>
          <w:color w:val="auto"/>
          <w:sz w:val="36"/>
          <w:szCs w:val="36"/>
        </w:rPr>
        <w:t>Explanatory Report</w:t>
      </w:r>
    </w:p>
    <w:p w14:paraId="7A3B83A5" w14:textId="77777777" w:rsidR="00A23E4D" w:rsidRDefault="00A23E4D" w:rsidP="00C36FA9">
      <w:pPr>
        <w:spacing w:before="92"/>
        <w:ind w:right="32"/>
        <w:rPr>
          <w:rFonts w:ascii="Arial"/>
          <w:b/>
          <w:sz w:val="24"/>
        </w:rPr>
      </w:pPr>
    </w:p>
    <w:p w14:paraId="35230C7C" w14:textId="025D4496" w:rsidR="00CB5630" w:rsidRPr="00A23E4D" w:rsidRDefault="00CB5630" w:rsidP="00C36FA9">
      <w:pPr>
        <w:spacing w:before="92"/>
        <w:ind w:right="32"/>
        <w:rPr>
          <w:rFonts w:ascii="Arial"/>
          <w:b/>
          <w:sz w:val="32"/>
          <w:szCs w:val="32"/>
        </w:rPr>
      </w:pPr>
      <w:r w:rsidRPr="00A23E4D">
        <w:rPr>
          <w:rFonts w:ascii="Arial"/>
          <w:b/>
          <w:sz w:val="32"/>
          <w:szCs w:val="32"/>
        </w:rPr>
        <w:t>Overview</w:t>
      </w:r>
      <w:r w:rsidR="00D7439D" w:rsidRPr="00A23E4D">
        <w:rPr>
          <w:rFonts w:ascii="Arial"/>
          <w:b/>
          <w:sz w:val="32"/>
          <w:szCs w:val="32"/>
        </w:rPr>
        <w:t xml:space="preserve"> </w:t>
      </w:r>
    </w:p>
    <w:p w14:paraId="4F1CE69D" w14:textId="77777777" w:rsidR="00BD361E" w:rsidRPr="00BD361E" w:rsidRDefault="00BD361E" w:rsidP="00C36FA9">
      <w:pPr>
        <w:spacing w:before="92"/>
        <w:ind w:right="32"/>
        <w:rPr>
          <w:rFonts w:ascii="Arial"/>
          <w:b/>
          <w:sz w:val="20"/>
          <w:szCs w:val="20"/>
        </w:rPr>
      </w:pPr>
    </w:p>
    <w:p w14:paraId="72583A79" w14:textId="4744F59F" w:rsidR="00E10402" w:rsidRPr="00BD361E" w:rsidRDefault="00C50D75" w:rsidP="00C36FA9">
      <w:pPr>
        <w:rPr>
          <w:rFonts w:ascii="Arial" w:hAnsi="Arial" w:cs="Arial"/>
          <w:sz w:val="24"/>
          <w:szCs w:val="24"/>
        </w:rPr>
      </w:pPr>
      <w:r w:rsidRPr="00BD361E">
        <w:rPr>
          <w:rFonts w:ascii="Arial" w:hAnsi="Arial" w:cs="Arial"/>
          <w:sz w:val="24"/>
          <w:szCs w:val="24"/>
        </w:rPr>
        <w:t xml:space="preserve">The amendment proposes to rezone land at </w:t>
      </w:r>
      <w:r w:rsidR="00A62150">
        <w:rPr>
          <w:rFonts w:ascii="Arial" w:hAnsi="Arial" w:cs="Arial"/>
          <w:sz w:val="24"/>
          <w:szCs w:val="24"/>
        </w:rPr>
        <w:t>192-</w:t>
      </w:r>
      <w:r w:rsidRPr="00BD361E">
        <w:rPr>
          <w:rFonts w:ascii="Arial" w:hAnsi="Arial" w:cs="Arial"/>
          <w:sz w:val="24"/>
          <w:szCs w:val="24"/>
        </w:rPr>
        <w:t>200 Arden Street North Melbourne t</w:t>
      </w:r>
      <w:r w:rsidR="00102A1A">
        <w:rPr>
          <w:rFonts w:ascii="Arial" w:hAnsi="Arial" w:cs="Arial"/>
          <w:sz w:val="24"/>
          <w:szCs w:val="24"/>
        </w:rPr>
        <w:t xml:space="preserve">o a </w:t>
      </w:r>
      <w:proofErr w:type="gramStart"/>
      <w:r w:rsidR="00102A1A">
        <w:rPr>
          <w:rFonts w:ascii="Arial" w:hAnsi="Arial" w:cs="Arial"/>
          <w:sz w:val="24"/>
          <w:szCs w:val="24"/>
        </w:rPr>
        <w:t>Mixed Use</w:t>
      </w:r>
      <w:proofErr w:type="gramEnd"/>
      <w:r w:rsidR="00102A1A">
        <w:rPr>
          <w:rFonts w:ascii="Arial" w:hAnsi="Arial" w:cs="Arial"/>
          <w:sz w:val="24"/>
          <w:szCs w:val="24"/>
        </w:rPr>
        <w:t xml:space="preserve"> Zone and insert</w:t>
      </w:r>
      <w:r w:rsidRPr="00BD361E">
        <w:rPr>
          <w:rFonts w:ascii="Arial" w:hAnsi="Arial" w:cs="Arial"/>
          <w:sz w:val="24"/>
          <w:szCs w:val="24"/>
        </w:rPr>
        <w:t xml:space="preserve"> a new Design and Development Overlay (DDO</w:t>
      </w:r>
      <w:r w:rsidR="00102A1A">
        <w:rPr>
          <w:rFonts w:ascii="Arial" w:hAnsi="Arial" w:cs="Arial"/>
          <w:sz w:val="24"/>
          <w:szCs w:val="24"/>
        </w:rPr>
        <w:t>84</w:t>
      </w:r>
      <w:r w:rsidRPr="00BD361E">
        <w:rPr>
          <w:rFonts w:ascii="Arial" w:hAnsi="Arial" w:cs="Arial"/>
          <w:sz w:val="24"/>
          <w:szCs w:val="24"/>
        </w:rPr>
        <w:t>) s</w:t>
      </w:r>
      <w:r w:rsidR="00413D44" w:rsidRPr="00BD361E">
        <w:rPr>
          <w:rFonts w:ascii="Arial" w:hAnsi="Arial" w:cs="Arial"/>
          <w:sz w:val="24"/>
          <w:szCs w:val="24"/>
        </w:rPr>
        <w:t xml:space="preserve">chedule to </w:t>
      </w:r>
      <w:r w:rsidR="006434C2">
        <w:rPr>
          <w:rFonts w:ascii="Arial" w:hAnsi="Arial" w:cs="Arial"/>
          <w:sz w:val="24"/>
          <w:szCs w:val="24"/>
        </w:rPr>
        <w:t>guide</w:t>
      </w:r>
      <w:r w:rsidR="006434C2" w:rsidRPr="00BD361E">
        <w:rPr>
          <w:rFonts w:ascii="Arial" w:hAnsi="Arial" w:cs="Arial"/>
          <w:sz w:val="24"/>
          <w:szCs w:val="24"/>
        </w:rPr>
        <w:t xml:space="preserve"> </w:t>
      </w:r>
      <w:r w:rsidR="006434C2">
        <w:rPr>
          <w:rFonts w:ascii="Arial" w:hAnsi="Arial" w:cs="Arial"/>
          <w:sz w:val="24"/>
          <w:szCs w:val="24"/>
        </w:rPr>
        <w:t xml:space="preserve">any future </w:t>
      </w:r>
      <w:r w:rsidRPr="00BD361E">
        <w:rPr>
          <w:rFonts w:ascii="Arial" w:hAnsi="Arial" w:cs="Arial"/>
          <w:sz w:val="24"/>
          <w:szCs w:val="24"/>
        </w:rPr>
        <w:t xml:space="preserve">redevelopment of the site. The proposed DDO proposes </w:t>
      </w:r>
      <w:r w:rsidR="00102A1A">
        <w:rPr>
          <w:rFonts w:ascii="Arial" w:hAnsi="Arial" w:cs="Arial"/>
          <w:sz w:val="24"/>
          <w:szCs w:val="24"/>
        </w:rPr>
        <w:t xml:space="preserve">staggered </w:t>
      </w:r>
      <w:r w:rsidRPr="00BD361E">
        <w:rPr>
          <w:rFonts w:ascii="Arial" w:hAnsi="Arial" w:cs="Arial"/>
          <w:sz w:val="24"/>
          <w:szCs w:val="24"/>
        </w:rPr>
        <w:t>building heights</w:t>
      </w:r>
      <w:r w:rsidR="008C2997">
        <w:rPr>
          <w:rFonts w:ascii="Arial" w:hAnsi="Arial" w:cs="Arial"/>
          <w:sz w:val="24"/>
          <w:szCs w:val="24"/>
        </w:rPr>
        <w:t xml:space="preserve"> across the site ranging</w:t>
      </w:r>
      <w:r w:rsidRPr="00BD361E">
        <w:rPr>
          <w:rFonts w:ascii="Arial" w:hAnsi="Arial" w:cs="Arial"/>
          <w:sz w:val="24"/>
          <w:szCs w:val="24"/>
        </w:rPr>
        <w:t xml:space="preserve"> </w:t>
      </w:r>
      <w:r w:rsidR="00925331">
        <w:rPr>
          <w:rFonts w:ascii="Arial" w:hAnsi="Arial" w:cs="Arial"/>
          <w:sz w:val="24"/>
          <w:szCs w:val="24"/>
        </w:rPr>
        <w:t>from</w:t>
      </w:r>
      <w:r w:rsidR="00F17142">
        <w:rPr>
          <w:rFonts w:ascii="Arial" w:hAnsi="Arial" w:cs="Arial"/>
          <w:sz w:val="24"/>
          <w:szCs w:val="24"/>
        </w:rPr>
        <w:t xml:space="preserve"> 3.4 metres </w:t>
      </w:r>
      <w:r w:rsidRPr="00BD361E">
        <w:rPr>
          <w:rFonts w:ascii="Arial" w:hAnsi="Arial" w:cs="Arial"/>
          <w:sz w:val="24"/>
          <w:szCs w:val="24"/>
        </w:rPr>
        <w:t>up to 20 metres</w:t>
      </w:r>
      <w:r w:rsidR="00F17142">
        <w:rPr>
          <w:rFonts w:ascii="Arial" w:hAnsi="Arial" w:cs="Arial"/>
          <w:sz w:val="24"/>
          <w:szCs w:val="24"/>
        </w:rPr>
        <w:t>.</w:t>
      </w:r>
    </w:p>
    <w:p w14:paraId="7FC0FAAA" w14:textId="77777777" w:rsidR="005C1EE8" w:rsidRPr="003C767E" w:rsidRDefault="005C1EE8" w:rsidP="00C36FA9">
      <w:pPr>
        <w:pStyle w:val="BodyText"/>
        <w:tabs>
          <w:tab w:val="left" w:pos="7513"/>
        </w:tabs>
        <w:spacing w:before="7"/>
        <w:ind w:right="18"/>
        <w:rPr>
          <w:rFonts w:ascii="Arial"/>
          <w:sz w:val="12"/>
        </w:rPr>
      </w:pPr>
    </w:p>
    <w:p w14:paraId="295D4ECF" w14:textId="77777777" w:rsidR="005C1EE8" w:rsidRPr="00E26897" w:rsidRDefault="005C1EE8" w:rsidP="00C36FA9">
      <w:pPr>
        <w:tabs>
          <w:tab w:val="left" w:pos="7513"/>
        </w:tabs>
        <w:spacing w:before="93"/>
        <w:ind w:right="18"/>
        <w:rPr>
          <w:rFonts w:ascii="Arial"/>
          <w:b/>
          <w:sz w:val="28"/>
          <w:szCs w:val="28"/>
        </w:rPr>
      </w:pPr>
      <w:r w:rsidRPr="00E26897">
        <w:rPr>
          <w:rFonts w:ascii="Arial"/>
          <w:b/>
          <w:sz w:val="28"/>
          <w:szCs w:val="28"/>
        </w:rPr>
        <w:t>Where you may inspect this amendment</w:t>
      </w:r>
    </w:p>
    <w:p w14:paraId="67A554A9" w14:textId="2ABEB10C" w:rsidR="00774BA0" w:rsidRDefault="00774BA0" w:rsidP="00C36FA9">
      <w:pPr>
        <w:rPr>
          <w:rFonts w:ascii="Arial" w:hAnsi="Arial" w:cs="Arial"/>
          <w:sz w:val="20"/>
        </w:rPr>
      </w:pPr>
    </w:p>
    <w:p w14:paraId="72FFAB9A" w14:textId="2AE0262F" w:rsidR="008C2997" w:rsidRPr="0049243D" w:rsidRDefault="00774BA0" w:rsidP="008C2997">
      <w:pPr>
        <w:rPr>
          <w:rFonts w:ascii="Arial" w:hAnsi="Arial" w:cs="Arial"/>
          <w:sz w:val="20"/>
          <w:szCs w:val="20"/>
        </w:rPr>
      </w:pPr>
      <w:r w:rsidRPr="00E26897">
        <w:rPr>
          <w:rFonts w:ascii="Arial" w:hAnsi="Arial" w:cs="Arial"/>
          <w:sz w:val="24"/>
          <w:szCs w:val="24"/>
        </w:rPr>
        <w:t xml:space="preserve">The Amendment </w:t>
      </w:r>
      <w:r w:rsidR="00E26897" w:rsidRPr="00E26897">
        <w:rPr>
          <w:rFonts w:ascii="Arial" w:hAnsi="Arial" w:cs="Arial"/>
          <w:sz w:val="24"/>
          <w:szCs w:val="24"/>
        </w:rPr>
        <w:t xml:space="preserve">can be inspected </w:t>
      </w:r>
      <w:r w:rsidRPr="00E26897">
        <w:rPr>
          <w:rFonts w:ascii="Arial" w:hAnsi="Arial" w:cs="Arial"/>
          <w:sz w:val="24"/>
          <w:szCs w:val="24"/>
        </w:rPr>
        <w:t>free of charge at Participate Melbourne, the City of Me</w:t>
      </w:r>
      <w:r w:rsidR="00936FFB">
        <w:rPr>
          <w:rFonts w:ascii="Arial" w:hAnsi="Arial" w:cs="Arial"/>
          <w:sz w:val="24"/>
          <w:szCs w:val="24"/>
        </w:rPr>
        <w:t xml:space="preserve">lbourne’s online engagement hub at </w:t>
      </w:r>
      <w:hyperlink r:id="rId13" w:history="1">
        <w:r w:rsidR="008C2997" w:rsidRPr="008C2997">
          <w:rPr>
            <w:rStyle w:val="Hyperlink"/>
            <w:rFonts w:ascii="Arial" w:hAnsi="Arial" w:cs="Arial"/>
            <w:bCs/>
            <w:sz w:val="24"/>
            <w:szCs w:val="24"/>
          </w:rPr>
          <w:t>https://participate.melbourne.vic.gov.au/amendment-c447</w:t>
        </w:r>
      </w:hyperlink>
      <w:r w:rsidR="008C2997">
        <w:t xml:space="preserve"> </w:t>
      </w:r>
      <w:r w:rsidR="008C2997" w:rsidRPr="008C2997">
        <w:rPr>
          <w:rFonts w:ascii="Arial" w:hAnsi="Arial" w:cs="Arial"/>
          <w:sz w:val="24"/>
          <w:szCs w:val="24"/>
        </w:rPr>
        <w:t xml:space="preserve">and </w:t>
      </w:r>
      <w:r w:rsidR="003E03FB" w:rsidRPr="008C2997">
        <w:rPr>
          <w:rFonts w:ascii="Arial" w:hAnsi="Arial" w:cs="Arial"/>
          <w:sz w:val="24"/>
          <w:szCs w:val="24"/>
        </w:rPr>
        <w:t xml:space="preserve">during office hours </w:t>
      </w:r>
      <w:r w:rsidR="008C2997" w:rsidRPr="008C2997">
        <w:rPr>
          <w:rFonts w:ascii="Arial" w:hAnsi="Arial" w:cs="Arial"/>
          <w:sz w:val="24"/>
          <w:szCs w:val="24"/>
        </w:rPr>
        <w:t>at the City of Melbourne</w:t>
      </w:r>
      <w:r w:rsidR="003E03FB">
        <w:rPr>
          <w:rFonts w:ascii="Arial" w:hAnsi="Arial" w:cs="Arial"/>
          <w:sz w:val="24"/>
          <w:szCs w:val="24"/>
        </w:rPr>
        <w:t xml:space="preserve"> </w:t>
      </w:r>
      <w:r w:rsidR="008C2997" w:rsidRPr="008C2997">
        <w:rPr>
          <w:rFonts w:ascii="Arial" w:hAnsi="Arial" w:cs="Arial"/>
          <w:sz w:val="24"/>
          <w:szCs w:val="24"/>
        </w:rPr>
        <w:t>Customer Service Counter, Ground Floor Melbourne Town Hall, 120 Swanston Street Melbourne</w:t>
      </w:r>
      <w:r w:rsidR="003E03FB">
        <w:rPr>
          <w:rFonts w:ascii="Arial" w:hAnsi="Arial" w:cs="Arial"/>
          <w:sz w:val="24"/>
          <w:szCs w:val="24"/>
        </w:rPr>
        <w:t>.</w:t>
      </w:r>
    </w:p>
    <w:p w14:paraId="7A2FD5DD" w14:textId="77777777" w:rsidR="008C2997" w:rsidRPr="00E26897" w:rsidRDefault="008C2997" w:rsidP="00C36FA9">
      <w:pPr>
        <w:rPr>
          <w:rFonts w:ascii="Arial" w:hAnsi="Arial" w:cs="Arial"/>
          <w:sz w:val="24"/>
          <w:szCs w:val="24"/>
        </w:rPr>
      </w:pPr>
    </w:p>
    <w:p w14:paraId="0FF01C1F" w14:textId="15DEB794" w:rsidR="005C1EE8" w:rsidRPr="00E26897" w:rsidRDefault="005C1EE8" w:rsidP="00C36FA9">
      <w:pPr>
        <w:tabs>
          <w:tab w:val="left" w:pos="7513"/>
        </w:tabs>
        <w:spacing w:before="119" w:line="232" w:lineRule="auto"/>
        <w:ind w:right="18"/>
        <w:rPr>
          <w:rFonts w:ascii="Arial"/>
          <w:sz w:val="24"/>
          <w:szCs w:val="24"/>
        </w:rPr>
      </w:pPr>
      <w:r w:rsidRPr="00E26897">
        <w:rPr>
          <w:rFonts w:ascii="Arial"/>
          <w:sz w:val="24"/>
          <w:szCs w:val="24"/>
        </w:rPr>
        <w:t xml:space="preserve">The amendment </w:t>
      </w:r>
      <w:r w:rsidR="00E26897" w:rsidRPr="00E26897">
        <w:rPr>
          <w:rFonts w:ascii="Arial"/>
          <w:sz w:val="24"/>
          <w:szCs w:val="24"/>
        </w:rPr>
        <w:t>can be inspected free of charge at the</w:t>
      </w:r>
      <w:r w:rsidRPr="00E26897">
        <w:rPr>
          <w:rFonts w:ascii="Arial"/>
          <w:sz w:val="24"/>
          <w:szCs w:val="24"/>
        </w:rPr>
        <w:t xml:space="preserve"> Department of </w:t>
      </w:r>
      <w:r w:rsidR="008221C7" w:rsidRPr="00E26897">
        <w:rPr>
          <w:rFonts w:ascii="Arial"/>
          <w:sz w:val="24"/>
          <w:szCs w:val="24"/>
        </w:rPr>
        <w:t>Transport</w:t>
      </w:r>
      <w:r w:rsidRPr="00E26897">
        <w:rPr>
          <w:rFonts w:ascii="Arial"/>
          <w:sz w:val="24"/>
          <w:szCs w:val="24"/>
        </w:rPr>
        <w:t xml:space="preserve"> and Planning website at </w:t>
      </w:r>
      <w:hyperlink r:id="rId14" w:history="1">
        <w:r w:rsidR="009D785C" w:rsidRPr="00E26897">
          <w:rPr>
            <w:rStyle w:val="Hyperlink"/>
            <w:rFonts w:ascii="Arial"/>
            <w:sz w:val="24"/>
            <w:szCs w:val="24"/>
          </w:rPr>
          <w:t>http://www.planning.vic.gov.au/public-inspection</w:t>
        </w:r>
        <w:r w:rsidR="009D785C" w:rsidRPr="00E26897">
          <w:rPr>
            <w:rStyle w:val="Hyperlink"/>
            <w:rFonts w:ascii="Arial"/>
            <w:sz w:val="24"/>
            <w:szCs w:val="24"/>
            <w:u w:val="none"/>
          </w:rPr>
          <w:t xml:space="preserve"> </w:t>
        </w:r>
      </w:hyperlink>
      <w:r w:rsidRPr="00E26897">
        <w:rPr>
          <w:rFonts w:ascii="Arial"/>
          <w:sz w:val="24"/>
          <w:szCs w:val="24"/>
        </w:rPr>
        <w:t>or by contacting the office on 1800 789 386 to arrange a time to view the amendment</w:t>
      </w:r>
      <w:r w:rsidRPr="00E26897">
        <w:rPr>
          <w:rFonts w:ascii="Arial"/>
          <w:spacing w:val="-8"/>
          <w:sz w:val="24"/>
          <w:szCs w:val="24"/>
        </w:rPr>
        <w:t xml:space="preserve"> </w:t>
      </w:r>
      <w:r w:rsidRPr="00E26897">
        <w:rPr>
          <w:rFonts w:ascii="Arial"/>
          <w:sz w:val="24"/>
          <w:szCs w:val="24"/>
        </w:rPr>
        <w:t>documentation.</w:t>
      </w:r>
    </w:p>
    <w:p w14:paraId="29DF80CE" w14:textId="77777777" w:rsidR="00856AB1" w:rsidRPr="00856AB1" w:rsidRDefault="00856AB1" w:rsidP="00856AB1">
      <w:pPr>
        <w:spacing w:before="240" w:after="120" w:line="276" w:lineRule="auto"/>
        <w:outlineLvl w:val="2"/>
        <w:rPr>
          <w:rFonts w:ascii="Arial" w:hAnsi="Arial"/>
          <w:b/>
          <w:bCs/>
          <w:sz w:val="28"/>
        </w:rPr>
      </w:pPr>
      <w:r w:rsidRPr="00856AB1">
        <w:rPr>
          <w:rFonts w:ascii="Arial" w:hAnsi="Arial"/>
          <w:b/>
          <w:bCs/>
          <w:sz w:val="28"/>
        </w:rPr>
        <w:t>Submissions</w:t>
      </w:r>
    </w:p>
    <w:p w14:paraId="54AB2C30" w14:textId="0F9EFB85" w:rsidR="00856AB1" w:rsidRPr="00856AB1" w:rsidRDefault="00856AB1" w:rsidP="00856AB1">
      <w:pPr>
        <w:spacing w:before="120" w:after="120" w:line="276" w:lineRule="auto"/>
        <w:rPr>
          <w:rFonts w:ascii="Arial" w:hAnsi="Arial"/>
          <w:sz w:val="24"/>
        </w:rPr>
      </w:pPr>
      <w:r w:rsidRPr="00856AB1">
        <w:rPr>
          <w:rFonts w:ascii="Arial" w:hAnsi="Arial"/>
          <w:sz w:val="24"/>
        </w:rPr>
        <w:t>Any person may make a submission to the plannin</w:t>
      </w:r>
      <w:r w:rsidR="00F17142">
        <w:rPr>
          <w:rFonts w:ascii="Arial" w:hAnsi="Arial"/>
          <w:sz w:val="24"/>
        </w:rPr>
        <w:t>g authority about the amendment. Submissions about the amendment</w:t>
      </w:r>
      <w:r w:rsidRPr="00856AB1">
        <w:rPr>
          <w:rFonts w:ascii="Arial" w:hAnsi="Arial"/>
          <w:color w:val="44546A"/>
          <w:sz w:val="24"/>
        </w:rPr>
        <w:t xml:space="preserve"> </w:t>
      </w:r>
      <w:r w:rsidRPr="00856AB1">
        <w:rPr>
          <w:rFonts w:ascii="Arial" w:hAnsi="Arial"/>
          <w:sz w:val="24"/>
        </w:rPr>
        <w:t>must be received by</w:t>
      </w:r>
      <w:r w:rsidR="00F17142">
        <w:rPr>
          <w:rFonts w:ascii="Arial" w:hAnsi="Arial"/>
          <w:sz w:val="24"/>
        </w:rPr>
        <w:t xml:space="preserve"> </w:t>
      </w:r>
      <w:r w:rsidR="00F17142" w:rsidRPr="006D48D8">
        <w:rPr>
          <w:rFonts w:ascii="Arial" w:hAnsi="Arial"/>
          <w:b/>
          <w:sz w:val="24"/>
        </w:rPr>
        <w:t>Thursday 25 July 2024</w:t>
      </w:r>
      <w:r w:rsidR="00F17142">
        <w:rPr>
          <w:rFonts w:ascii="Arial" w:hAnsi="Arial"/>
          <w:sz w:val="24"/>
        </w:rPr>
        <w:t>.</w:t>
      </w:r>
    </w:p>
    <w:p w14:paraId="2D457215" w14:textId="2B5C447A" w:rsidR="003E03FB" w:rsidRPr="003E03FB" w:rsidRDefault="00F17142" w:rsidP="003E03FB">
      <w:pPr>
        <w:spacing w:before="120" w:after="120" w:line="276" w:lineRule="auto"/>
        <w:rPr>
          <w:rFonts w:ascii="Arial" w:hAnsi="Arial"/>
          <w:sz w:val="24"/>
        </w:rPr>
      </w:pPr>
      <w:r>
        <w:rPr>
          <w:rFonts w:ascii="Arial" w:hAnsi="Arial"/>
          <w:sz w:val="24"/>
        </w:rPr>
        <w:t>A submission must be lodged by one of the following</w:t>
      </w:r>
      <w:r w:rsidR="006D48D8">
        <w:rPr>
          <w:rFonts w:ascii="Arial" w:hAnsi="Arial"/>
          <w:sz w:val="24"/>
        </w:rPr>
        <w:t>:</w:t>
      </w:r>
    </w:p>
    <w:p w14:paraId="5B64B105" w14:textId="731C9A67" w:rsidR="006D48D8" w:rsidRDefault="003E03FB" w:rsidP="006D48D8">
      <w:pPr>
        <w:pStyle w:val="ListParagraph"/>
        <w:numPr>
          <w:ilvl w:val="0"/>
          <w:numId w:val="32"/>
        </w:numPr>
        <w:spacing w:before="120" w:after="120" w:line="276" w:lineRule="auto"/>
        <w:rPr>
          <w:rFonts w:ascii="Arial" w:hAnsi="Arial"/>
          <w:sz w:val="24"/>
        </w:rPr>
      </w:pPr>
      <w:r>
        <w:rPr>
          <w:rFonts w:ascii="Arial" w:hAnsi="Arial"/>
          <w:sz w:val="24"/>
        </w:rPr>
        <w:t xml:space="preserve">Online at </w:t>
      </w:r>
      <w:hyperlink r:id="rId15" w:history="1">
        <w:r w:rsidRPr="003E03FB">
          <w:rPr>
            <w:rStyle w:val="Hyperlink"/>
            <w:rFonts w:ascii="Arial" w:hAnsi="Arial" w:cs="Arial"/>
            <w:bCs/>
            <w:sz w:val="24"/>
            <w:szCs w:val="24"/>
          </w:rPr>
          <w:t>https://participate.melbourne.vic.gov.au/amendment-c447</w:t>
        </w:r>
      </w:hyperlink>
    </w:p>
    <w:p w14:paraId="22AF4A41" w14:textId="0FD65DF4" w:rsidR="006D48D8" w:rsidRPr="006D48D8" w:rsidRDefault="00EA1301" w:rsidP="006D48D8">
      <w:pPr>
        <w:pStyle w:val="ListParagraph"/>
        <w:numPr>
          <w:ilvl w:val="0"/>
          <w:numId w:val="32"/>
        </w:numPr>
        <w:spacing w:before="120" w:after="120" w:line="276" w:lineRule="auto"/>
        <w:rPr>
          <w:rFonts w:ascii="Arial" w:hAnsi="Arial"/>
          <w:sz w:val="24"/>
        </w:rPr>
      </w:pPr>
      <w:r>
        <w:rPr>
          <w:rFonts w:ascii="Arial" w:hAnsi="Arial"/>
          <w:sz w:val="24"/>
        </w:rPr>
        <w:t xml:space="preserve">By email to </w:t>
      </w:r>
      <w:hyperlink r:id="rId16" w:history="1">
        <w:r w:rsidR="0050361A" w:rsidRPr="003458D4">
          <w:rPr>
            <w:rStyle w:val="Hyperlink"/>
            <w:rFonts w:ascii="Arial" w:hAnsi="Arial"/>
            <w:sz w:val="24"/>
          </w:rPr>
          <w:t>planningpolicy@melbourne.vic.gov.au</w:t>
        </w:r>
      </w:hyperlink>
      <w:r>
        <w:rPr>
          <w:rFonts w:ascii="Arial" w:hAnsi="Arial"/>
          <w:sz w:val="24"/>
        </w:rPr>
        <w:t xml:space="preserve"> </w:t>
      </w:r>
    </w:p>
    <w:p w14:paraId="1C2A5AB4" w14:textId="77777777" w:rsidR="00856AB1" w:rsidRPr="00856AB1" w:rsidRDefault="00856AB1" w:rsidP="00856AB1">
      <w:pPr>
        <w:spacing w:before="240" w:after="120" w:line="276" w:lineRule="auto"/>
        <w:outlineLvl w:val="2"/>
        <w:rPr>
          <w:rFonts w:ascii="Arial" w:hAnsi="Arial"/>
          <w:b/>
          <w:bCs/>
          <w:sz w:val="28"/>
        </w:rPr>
      </w:pPr>
      <w:r w:rsidRPr="00856AB1">
        <w:rPr>
          <w:rFonts w:ascii="Arial" w:hAnsi="Arial"/>
          <w:b/>
          <w:bCs/>
          <w:sz w:val="28"/>
        </w:rPr>
        <w:t>Panel hearing dates</w:t>
      </w:r>
    </w:p>
    <w:p w14:paraId="67645331" w14:textId="77777777" w:rsidR="00856AB1" w:rsidRPr="00856AB1" w:rsidRDefault="00856AB1" w:rsidP="00856AB1">
      <w:pPr>
        <w:spacing w:before="120" w:after="120" w:line="276" w:lineRule="auto"/>
        <w:rPr>
          <w:rFonts w:ascii="Arial" w:hAnsi="Arial"/>
          <w:sz w:val="24"/>
        </w:rPr>
      </w:pPr>
      <w:r w:rsidRPr="00856AB1">
        <w:rPr>
          <w:rFonts w:ascii="Arial" w:hAnsi="Arial"/>
          <w:sz w:val="24"/>
        </w:rPr>
        <w:t>In accordance with clause 4(2) of Ministerial Direction No.15 the following panel hearing dates have been set for this amendment:</w:t>
      </w:r>
    </w:p>
    <w:p w14:paraId="6437AB35" w14:textId="3989EBAB" w:rsidR="00621929" w:rsidRDefault="00621929" w:rsidP="00621929">
      <w:pPr>
        <w:pStyle w:val="Bulletlist"/>
      </w:pPr>
      <w:r>
        <w:t xml:space="preserve">Directions hearing: </w:t>
      </w:r>
      <w:r w:rsidR="00F17142" w:rsidRPr="00F17142">
        <w:t>the week commencing 23</w:t>
      </w:r>
      <w:r w:rsidR="00F17142" w:rsidRPr="003E03FB">
        <w:t xml:space="preserve"> February 2025</w:t>
      </w:r>
    </w:p>
    <w:p w14:paraId="46AFEAFE" w14:textId="0564B41E" w:rsidR="00621929" w:rsidRPr="00E93AF6" w:rsidRDefault="00621929" w:rsidP="00621929">
      <w:pPr>
        <w:pStyle w:val="Bulletlist"/>
      </w:pPr>
      <w:r w:rsidRPr="00E93AF6">
        <w:t xml:space="preserve">Panel hearing: </w:t>
      </w:r>
      <w:r w:rsidR="00F17142" w:rsidRPr="00F17142">
        <w:t>t</w:t>
      </w:r>
      <w:r w:rsidR="00F17142">
        <w:t>he week commencing 23 March 2025</w:t>
      </w:r>
    </w:p>
    <w:p w14:paraId="02CD16C2" w14:textId="77777777" w:rsidR="00DE75A4" w:rsidRDefault="00DE75A4" w:rsidP="00C36FA9">
      <w:pPr>
        <w:widowControl/>
        <w:autoSpaceDE/>
        <w:autoSpaceDN/>
        <w:spacing w:after="160" w:line="259" w:lineRule="auto"/>
        <w:rPr>
          <w:rFonts w:ascii="Arial"/>
          <w:b/>
          <w:sz w:val="32"/>
          <w:szCs w:val="32"/>
        </w:rPr>
      </w:pPr>
      <w:r>
        <w:rPr>
          <w:rFonts w:ascii="Arial"/>
          <w:b/>
          <w:sz w:val="32"/>
          <w:szCs w:val="32"/>
        </w:rPr>
        <w:br w:type="page"/>
      </w:r>
    </w:p>
    <w:p w14:paraId="2BE628EF" w14:textId="5F8B6C78" w:rsidR="00E26897" w:rsidRDefault="005C1EE8" w:rsidP="00B163BD">
      <w:pPr>
        <w:tabs>
          <w:tab w:val="left" w:pos="7513"/>
        </w:tabs>
        <w:spacing w:after="360"/>
        <w:ind w:right="17"/>
        <w:rPr>
          <w:rFonts w:ascii="Arial"/>
          <w:b/>
          <w:sz w:val="32"/>
          <w:szCs w:val="32"/>
        </w:rPr>
      </w:pPr>
      <w:r w:rsidRPr="00E26897">
        <w:rPr>
          <w:rFonts w:ascii="Arial"/>
          <w:b/>
          <w:sz w:val="32"/>
          <w:szCs w:val="32"/>
        </w:rPr>
        <w:lastRenderedPageBreak/>
        <w:t xml:space="preserve">Details of the </w:t>
      </w:r>
      <w:r w:rsidR="00C245D4" w:rsidRPr="00E26897">
        <w:rPr>
          <w:rFonts w:ascii="Arial"/>
          <w:b/>
          <w:sz w:val="32"/>
          <w:szCs w:val="32"/>
        </w:rPr>
        <w:t>a</w:t>
      </w:r>
      <w:r w:rsidRPr="00E26897">
        <w:rPr>
          <w:rFonts w:ascii="Arial"/>
          <w:b/>
          <w:sz w:val="32"/>
          <w:szCs w:val="32"/>
        </w:rPr>
        <w:t>mendment</w:t>
      </w:r>
    </w:p>
    <w:p w14:paraId="2560C180" w14:textId="7C8ABF58" w:rsidR="005C1EE8" w:rsidRPr="00E26897" w:rsidRDefault="005C1EE8" w:rsidP="00C36FA9">
      <w:pPr>
        <w:ind w:right="32"/>
        <w:rPr>
          <w:rFonts w:ascii="Arial"/>
          <w:b/>
          <w:sz w:val="28"/>
          <w:szCs w:val="28"/>
        </w:rPr>
      </w:pPr>
      <w:bookmarkStart w:id="2" w:name="Who_is_the_planning_authority?"/>
      <w:bookmarkEnd w:id="2"/>
      <w:r w:rsidRPr="00E26897">
        <w:rPr>
          <w:rFonts w:ascii="Arial"/>
          <w:b/>
          <w:sz w:val="28"/>
          <w:szCs w:val="28"/>
        </w:rPr>
        <w:t xml:space="preserve">Who is the </w:t>
      </w:r>
      <w:r w:rsidR="00AC0A45" w:rsidRPr="00E26897">
        <w:rPr>
          <w:rFonts w:ascii="Arial"/>
          <w:b/>
          <w:sz w:val="28"/>
          <w:szCs w:val="28"/>
        </w:rPr>
        <w:t>planning authority</w:t>
      </w:r>
      <w:r w:rsidRPr="00E26897">
        <w:rPr>
          <w:rFonts w:ascii="Arial"/>
          <w:b/>
          <w:sz w:val="28"/>
          <w:szCs w:val="28"/>
        </w:rPr>
        <w:t>?</w:t>
      </w:r>
    </w:p>
    <w:p w14:paraId="0BEC1156" w14:textId="77777777" w:rsidR="005C1EE8" w:rsidRPr="005C070D" w:rsidRDefault="005C1EE8" w:rsidP="00C36FA9">
      <w:pPr>
        <w:pStyle w:val="BodyText"/>
        <w:spacing w:before="3"/>
        <w:ind w:right="32"/>
        <w:rPr>
          <w:rFonts w:ascii="Arial"/>
          <w:sz w:val="20"/>
        </w:rPr>
      </w:pPr>
    </w:p>
    <w:p w14:paraId="7A61CECE" w14:textId="76D2E50C" w:rsidR="005C1EE8" w:rsidRPr="00E26897" w:rsidRDefault="005C1EE8" w:rsidP="00C36FA9">
      <w:pPr>
        <w:spacing w:line="232" w:lineRule="auto"/>
        <w:ind w:right="32"/>
        <w:rPr>
          <w:rFonts w:ascii="Arial"/>
          <w:sz w:val="24"/>
          <w:szCs w:val="24"/>
        </w:rPr>
      </w:pPr>
      <w:r w:rsidRPr="00E26897">
        <w:rPr>
          <w:rFonts w:ascii="Arial"/>
          <w:sz w:val="24"/>
          <w:szCs w:val="24"/>
        </w:rPr>
        <w:t xml:space="preserve">This amendment has been prepared by the </w:t>
      </w:r>
      <w:r w:rsidR="00955F44" w:rsidRPr="00E26897">
        <w:rPr>
          <w:rFonts w:ascii="Arial"/>
          <w:sz w:val="24"/>
          <w:szCs w:val="24"/>
        </w:rPr>
        <w:t>City of Melbourne</w:t>
      </w:r>
      <w:r w:rsidRPr="00E26897">
        <w:rPr>
          <w:rFonts w:ascii="Arial"/>
          <w:sz w:val="24"/>
          <w:szCs w:val="24"/>
        </w:rPr>
        <w:t xml:space="preserve"> who is the </w:t>
      </w:r>
      <w:r w:rsidR="00AC0A45" w:rsidRPr="00E26897">
        <w:rPr>
          <w:rFonts w:ascii="Arial"/>
          <w:sz w:val="24"/>
          <w:szCs w:val="24"/>
        </w:rPr>
        <w:t>planning authority</w:t>
      </w:r>
      <w:r w:rsidRPr="00E26897">
        <w:rPr>
          <w:rFonts w:ascii="Arial"/>
          <w:sz w:val="24"/>
          <w:szCs w:val="24"/>
        </w:rPr>
        <w:t xml:space="preserve"> for this amendment.</w:t>
      </w:r>
    </w:p>
    <w:p w14:paraId="1547A861" w14:textId="70262360" w:rsidR="005C1EE8" w:rsidRPr="00E26897" w:rsidRDefault="005C1EE8" w:rsidP="00C36FA9">
      <w:pPr>
        <w:spacing w:before="114"/>
        <w:ind w:right="32"/>
        <w:rPr>
          <w:rFonts w:ascii="Arial"/>
          <w:sz w:val="24"/>
          <w:szCs w:val="24"/>
        </w:rPr>
      </w:pPr>
      <w:r w:rsidRPr="00E26897">
        <w:rPr>
          <w:rFonts w:ascii="Arial"/>
          <w:sz w:val="24"/>
          <w:szCs w:val="24"/>
        </w:rPr>
        <w:t xml:space="preserve">The amendment has been made at the request of </w:t>
      </w:r>
      <w:r w:rsidR="007D206C" w:rsidRPr="00E26897">
        <w:rPr>
          <w:rFonts w:ascii="Arial"/>
          <w:sz w:val="24"/>
          <w:szCs w:val="24"/>
        </w:rPr>
        <w:t xml:space="preserve">Ethos Urban on behalf of the </w:t>
      </w:r>
      <w:r w:rsidR="00C36FA9">
        <w:rPr>
          <w:rFonts w:ascii="Arial"/>
          <w:sz w:val="24"/>
          <w:szCs w:val="24"/>
        </w:rPr>
        <w:t>Electrical Trades Union (</w:t>
      </w:r>
      <w:r w:rsidR="007D206C" w:rsidRPr="00E26897">
        <w:rPr>
          <w:rFonts w:ascii="Arial"/>
          <w:sz w:val="24"/>
          <w:szCs w:val="24"/>
        </w:rPr>
        <w:t>ETU</w:t>
      </w:r>
      <w:r w:rsidR="00C36FA9">
        <w:rPr>
          <w:rFonts w:ascii="Arial"/>
          <w:sz w:val="24"/>
          <w:szCs w:val="24"/>
        </w:rPr>
        <w:t>)</w:t>
      </w:r>
      <w:r w:rsidR="007D206C" w:rsidRPr="00E26897">
        <w:rPr>
          <w:rFonts w:ascii="Arial"/>
          <w:sz w:val="24"/>
          <w:szCs w:val="24"/>
        </w:rPr>
        <w:t>.</w:t>
      </w:r>
    </w:p>
    <w:p w14:paraId="7913484F" w14:textId="77777777" w:rsidR="005C1EE8" w:rsidRDefault="005C1EE8" w:rsidP="00C36FA9">
      <w:pPr>
        <w:pStyle w:val="BodyText"/>
        <w:spacing w:before="3"/>
        <w:ind w:right="32"/>
        <w:rPr>
          <w:rFonts w:ascii="Arial"/>
          <w:sz w:val="20"/>
        </w:rPr>
      </w:pPr>
    </w:p>
    <w:p w14:paraId="73C9EBF1" w14:textId="77777777" w:rsidR="005C1EE8" w:rsidRPr="00E26897" w:rsidRDefault="005C1EE8" w:rsidP="00C36FA9">
      <w:pPr>
        <w:ind w:right="32"/>
        <w:rPr>
          <w:rFonts w:ascii="Arial"/>
          <w:b/>
          <w:sz w:val="28"/>
          <w:szCs w:val="28"/>
        </w:rPr>
      </w:pPr>
      <w:bookmarkStart w:id="3" w:name="Land_affected_by_the_amendment"/>
      <w:bookmarkEnd w:id="3"/>
      <w:r w:rsidRPr="00E26897">
        <w:rPr>
          <w:rFonts w:ascii="Arial"/>
          <w:b/>
          <w:sz w:val="28"/>
          <w:szCs w:val="28"/>
        </w:rPr>
        <w:t xml:space="preserve">Land affected by the </w:t>
      </w:r>
      <w:proofErr w:type="gramStart"/>
      <w:r w:rsidRPr="00E26897">
        <w:rPr>
          <w:rFonts w:ascii="Arial"/>
          <w:b/>
          <w:sz w:val="28"/>
          <w:szCs w:val="28"/>
        </w:rPr>
        <w:t>amendment</w:t>
      </w:r>
      <w:proofErr w:type="gramEnd"/>
    </w:p>
    <w:p w14:paraId="246D7676" w14:textId="77777777" w:rsidR="005C1EE8" w:rsidRPr="00537DE1" w:rsidRDefault="005C1EE8" w:rsidP="00C36FA9">
      <w:pPr>
        <w:pStyle w:val="BodyText"/>
        <w:spacing w:before="3"/>
        <w:ind w:right="32"/>
        <w:rPr>
          <w:rFonts w:ascii="Arial"/>
          <w:sz w:val="20"/>
        </w:rPr>
      </w:pPr>
    </w:p>
    <w:p w14:paraId="28AB6A04" w14:textId="4F89B130" w:rsidR="00B051F9" w:rsidRPr="00E26897" w:rsidRDefault="00E26897" w:rsidP="00C36FA9">
      <w:pPr>
        <w:pStyle w:val="Default"/>
        <w:rPr>
          <w:rFonts w:ascii="Arial" w:hAnsi="Arial" w:cs="Arial"/>
          <w:color w:val="auto"/>
        </w:rPr>
      </w:pPr>
      <w:r w:rsidRPr="00E26897">
        <w:rPr>
          <w:rFonts w:ascii="Arial"/>
        </w:rPr>
        <w:t>The amendment applies to</w:t>
      </w:r>
      <w:r w:rsidR="005C1EE8" w:rsidRPr="00E26897">
        <w:rPr>
          <w:rFonts w:ascii="Arial"/>
        </w:rPr>
        <w:t xml:space="preserve"> </w:t>
      </w:r>
      <w:r w:rsidR="00B051F9" w:rsidRPr="00E26897">
        <w:rPr>
          <w:rFonts w:ascii="Arial" w:hAnsi="Arial" w:cs="Arial"/>
        </w:rPr>
        <w:t xml:space="preserve">the </w:t>
      </w:r>
      <w:r w:rsidR="00B051F9" w:rsidRPr="00E26897">
        <w:rPr>
          <w:rFonts w:ascii="Arial" w:hAnsi="Arial" w:cs="Arial"/>
          <w:color w:val="auto"/>
        </w:rPr>
        <w:t xml:space="preserve">land at </w:t>
      </w:r>
      <w:r w:rsidR="00A62150">
        <w:rPr>
          <w:rFonts w:ascii="Arial" w:hAnsi="Arial" w:cs="Arial"/>
          <w:color w:val="auto"/>
        </w:rPr>
        <w:t>192-</w:t>
      </w:r>
      <w:r w:rsidR="00B051F9" w:rsidRPr="00E26897">
        <w:rPr>
          <w:rFonts w:ascii="Arial" w:hAnsi="Arial" w:cs="Arial"/>
          <w:color w:val="auto"/>
        </w:rPr>
        <w:t>200 Arden Street, North Melbourne and formally referred to as Lot 1 on TP002368D and Lot 1 on TP002403E</w:t>
      </w:r>
      <w:r w:rsidR="00B051F9" w:rsidRPr="00E26897">
        <w:rPr>
          <w:color w:val="auto"/>
        </w:rPr>
        <w:t xml:space="preserve"> </w:t>
      </w:r>
      <w:r w:rsidR="00B051F9" w:rsidRPr="00E26897">
        <w:rPr>
          <w:rFonts w:ascii="Arial" w:hAnsi="Arial" w:cs="Arial"/>
          <w:color w:val="auto"/>
        </w:rPr>
        <w:t xml:space="preserve">as shown </w:t>
      </w:r>
      <w:r w:rsidR="002843EB">
        <w:rPr>
          <w:rFonts w:ascii="Arial" w:hAnsi="Arial" w:cs="Arial"/>
          <w:color w:val="auto"/>
        </w:rPr>
        <w:t>has</w:t>
      </w:r>
      <w:r w:rsidR="00BE0D1B">
        <w:rPr>
          <w:rFonts w:ascii="Arial" w:hAnsi="Arial" w:cs="Arial"/>
          <w:color w:val="auto"/>
        </w:rPr>
        <w:t>hed</w:t>
      </w:r>
      <w:r w:rsidR="006D48D8">
        <w:rPr>
          <w:rFonts w:ascii="Arial" w:hAnsi="Arial" w:cs="Arial"/>
          <w:color w:val="auto"/>
        </w:rPr>
        <w:t xml:space="preserve"> in red</w:t>
      </w:r>
      <w:r w:rsidR="00B051F9" w:rsidRPr="00E26897">
        <w:rPr>
          <w:rFonts w:ascii="Arial" w:hAnsi="Arial" w:cs="Arial"/>
          <w:color w:val="auto"/>
        </w:rPr>
        <w:t xml:space="preserve"> in Figure 1</w:t>
      </w:r>
      <w:r w:rsidR="006D48D8">
        <w:rPr>
          <w:rFonts w:ascii="Arial" w:hAnsi="Arial" w:cs="Arial"/>
          <w:color w:val="auto"/>
        </w:rPr>
        <w:t>.</w:t>
      </w:r>
    </w:p>
    <w:p w14:paraId="7DC6950E" w14:textId="77777777" w:rsidR="00B051F9" w:rsidRPr="00907E0D" w:rsidRDefault="00B051F9" w:rsidP="00C36FA9">
      <w:pPr>
        <w:pStyle w:val="Default"/>
      </w:pPr>
    </w:p>
    <w:p w14:paraId="530EEE06" w14:textId="370A3E7B" w:rsidR="00B051F9" w:rsidRDefault="006D48D8" w:rsidP="00C36FA9">
      <w:pPr>
        <w:rPr>
          <w:rFonts w:ascii="Arial" w:hAnsi="Arial" w:cs="Arial"/>
          <w:sz w:val="20"/>
        </w:rPr>
      </w:pPr>
      <w:r>
        <w:rPr>
          <w:noProof/>
          <w:lang w:bidi="ar-SA"/>
        </w:rPr>
        <w:drawing>
          <wp:inline distT="0" distB="0" distL="0" distR="0" wp14:anchorId="1F0BC5E8" wp14:editId="5824EC77">
            <wp:extent cx="3493748" cy="246877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64338" cy="2518654"/>
                    </a:xfrm>
                    <a:prstGeom prst="rect">
                      <a:avLst/>
                    </a:prstGeom>
                  </pic:spPr>
                </pic:pic>
              </a:graphicData>
            </a:graphic>
          </wp:inline>
        </w:drawing>
      </w:r>
    </w:p>
    <w:p w14:paraId="346FA3A1" w14:textId="77777777" w:rsidR="00B051F9" w:rsidRDefault="00B051F9" w:rsidP="00C36FA9">
      <w:pPr>
        <w:rPr>
          <w:rFonts w:ascii="Arial" w:hAnsi="Arial" w:cs="Arial"/>
          <w:sz w:val="20"/>
        </w:rPr>
      </w:pPr>
    </w:p>
    <w:p w14:paraId="7ECE3C76" w14:textId="4651351E" w:rsidR="00B051F9" w:rsidRDefault="00B051F9" w:rsidP="00C36FA9">
      <w:pPr>
        <w:rPr>
          <w:rFonts w:ascii="Arial" w:hAnsi="Arial" w:cs="Arial"/>
          <w:sz w:val="20"/>
        </w:rPr>
      </w:pPr>
      <w:r>
        <w:rPr>
          <w:rFonts w:ascii="Arial" w:hAnsi="Arial" w:cs="Arial"/>
          <w:sz w:val="20"/>
        </w:rPr>
        <w:t xml:space="preserve">Figure 1: Land affected by the </w:t>
      </w:r>
      <w:proofErr w:type="gramStart"/>
      <w:r>
        <w:rPr>
          <w:rFonts w:ascii="Arial" w:hAnsi="Arial" w:cs="Arial"/>
          <w:sz w:val="20"/>
        </w:rPr>
        <w:t>amendment</w:t>
      </w:r>
      <w:proofErr w:type="gramEnd"/>
      <w:r>
        <w:rPr>
          <w:rFonts w:ascii="Arial" w:hAnsi="Arial" w:cs="Arial"/>
          <w:sz w:val="20"/>
        </w:rPr>
        <w:t xml:space="preserve"> </w:t>
      </w:r>
    </w:p>
    <w:p w14:paraId="520E748C" w14:textId="4A47D00E" w:rsidR="005C1EE8" w:rsidRPr="00537DE1" w:rsidRDefault="005C1EE8" w:rsidP="00C36FA9">
      <w:pPr>
        <w:pStyle w:val="BodyText"/>
        <w:spacing w:before="3"/>
        <w:ind w:right="32"/>
        <w:rPr>
          <w:rFonts w:ascii="Arial"/>
          <w:sz w:val="20"/>
        </w:rPr>
      </w:pPr>
    </w:p>
    <w:p w14:paraId="7C55E7AE" w14:textId="77777777" w:rsidR="005C1EE8" w:rsidRPr="00E26897" w:rsidRDefault="005C1EE8" w:rsidP="00C36FA9">
      <w:pPr>
        <w:ind w:right="32"/>
        <w:rPr>
          <w:rFonts w:ascii="Arial"/>
          <w:b/>
          <w:sz w:val="28"/>
          <w:szCs w:val="28"/>
        </w:rPr>
      </w:pPr>
      <w:bookmarkStart w:id="4" w:name="[Insert_this_section_if_a_combined_permi"/>
      <w:bookmarkEnd w:id="4"/>
      <w:r w:rsidRPr="00E26897">
        <w:rPr>
          <w:rFonts w:ascii="Arial"/>
          <w:b/>
          <w:sz w:val="28"/>
          <w:szCs w:val="28"/>
        </w:rPr>
        <w:t>What the amendment does</w:t>
      </w:r>
    </w:p>
    <w:p w14:paraId="06A6011D" w14:textId="77777777" w:rsidR="005C1EE8" w:rsidRPr="00537DE1" w:rsidRDefault="005C1EE8" w:rsidP="00C36FA9">
      <w:pPr>
        <w:pStyle w:val="BodyText"/>
        <w:spacing w:before="3"/>
        <w:ind w:right="32"/>
        <w:rPr>
          <w:rFonts w:ascii="Arial"/>
          <w:sz w:val="20"/>
        </w:rPr>
      </w:pPr>
    </w:p>
    <w:p w14:paraId="56BEC62A" w14:textId="21B8DA2E" w:rsidR="00DD326B" w:rsidRPr="00E26897" w:rsidRDefault="005C1EE8" w:rsidP="00C36FA9">
      <w:pPr>
        <w:spacing w:line="232" w:lineRule="auto"/>
        <w:ind w:right="32"/>
        <w:rPr>
          <w:rFonts w:ascii="Arial"/>
          <w:sz w:val="24"/>
          <w:szCs w:val="24"/>
        </w:rPr>
      </w:pPr>
      <w:r w:rsidRPr="00E26897">
        <w:rPr>
          <w:rFonts w:ascii="Arial"/>
          <w:sz w:val="24"/>
          <w:szCs w:val="24"/>
        </w:rPr>
        <w:t xml:space="preserve">The amendment </w:t>
      </w:r>
      <w:r w:rsidR="00FA34C9">
        <w:rPr>
          <w:rFonts w:ascii="Arial"/>
          <w:sz w:val="24"/>
          <w:szCs w:val="24"/>
        </w:rPr>
        <w:t>proposes to</w:t>
      </w:r>
      <w:r w:rsidR="006E3252" w:rsidRPr="00E26897">
        <w:rPr>
          <w:rFonts w:ascii="Arial"/>
          <w:sz w:val="24"/>
          <w:szCs w:val="24"/>
        </w:rPr>
        <w:t xml:space="preserve"> rezone the land from General Residential Zone </w:t>
      </w:r>
      <w:r w:rsidR="006E3252" w:rsidRPr="00E26897">
        <w:rPr>
          <w:rFonts w:ascii="Arial"/>
          <w:sz w:val="24"/>
          <w:szCs w:val="24"/>
        </w:rPr>
        <w:t>–</w:t>
      </w:r>
      <w:r w:rsidR="006E3252" w:rsidRPr="00E26897">
        <w:rPr>
          <w:rFonts w:ascii="Arial"/>
          <w:sz w:val="24"/>
          <w:szCs w:val="24"/>
        </w:rPr>
        <w:t xml:space="preserve"> Sche</w:t>
      </w:r>
      <w:r w:rsidR="00EA1301">
        <w:rPr>
          <w:rFonts w:ascii="Arial"/>
          <w:sz w:val="24"/>
          <w:szCs w:val="24"/>
        </w:rPr>
        <w:t>dule 1 (GRZ1) to Mixed Use Zone (MUZ</w:t>
      </w:r>
      <w:r w:rsidR="00C50E46">
        <w:rPr>
          <w:rFonts w:ascii="Arial"/>
          <w:sz w:val="24"/>
          <w:szCs w:val="24"/>
        </w:rPr>
        <w:t>) and</w:t>
      </w:r>
      <w:r w:rsidR="00102A1A">
        <w:rPr>
          <w:rFonts w:ascii="Arial"/>
          <w:sz w:val="24"/>
          <w:szCs w:val="24"/>
        </w:rPr>
        <w:t xml:space="preserve"> insert</w:t>
      </w:r>
      <w:r w:rsidR="00DD326B" w:rsidRPr="00E26897">
        <w:rPr>
          <w:rFonts w:ascii="Arial"/>
          <w:sz w:val="24"/>
          <w:szCs w:val="24"/>
        </w:rPr>
        <w:t xml:space="preserve"> a new Schedule 84 to the </w:t>
      </w:r>
      <w:r w:rsidR="00046ACA">
        <w:rPr>
          <w:rFonts w:ascii="Arial"/>
          <w:sz w:val="24"/>
          <w:szCs w:val="24"/>
        </w:rPr>
        <w:t>Design and Development Overlay</w:t>
      </w:r>
      <w:r w:rsidR="00A95C3E">
        <w:rPr>
          <w:rFonts w:ascii="Arial"/>
          <w:sz w:val="24"/>
          <w:szCs w:val="24"/>
        </w:rPr>
        <w:t xml:space="preserve"> to guide any future redevelopment of the site.</w:t>
      </w:r>
    </w:p>
    <w:p w14:paraId="010A9BAF" w14:textId="6B89B986" w:rsidR="00DD326B" w:rsidRPr="00E26897" w:rsidRDefault="00E26897" w:rsidP="00C36FA9">
      <w:pPr>
        <w:spacing w:before="120" w:line="232" w:lineRule="auto"/>
        <w:ind w:right="32"/>
        <w:rPr>
          <w:rFonts w:ascii="Arial"/>
          <w:sz w:val="24"/>
          <w:szCs w:val="24"/>
        </w:rPr>
      </w:pPr>
      <w:r>
        <w:rPr>
          <w:rFonts w:ascii="Arial"/>
          <w:sz w:val="24"/>
          <w:szCs w:val="24"/>
        </w:rPr>
        <w:t>T</w:t>
      </w:r>
      <w:r w:rsidR="00BD62ED" w:rsidRPr="00E26897">
        <w:rPr>
          <w:rFonts w:ascii="Arial"/>
          <w:sz w:val="24"/>
          <w:szCs w:val="24"/>
        </w:rPr>
        <w:t>he</w:t>
      </w:r>
      <w:r w:rsidR="005C1EE8" w:rsidRPr="00E26897">
        <w:rPr>
          <w:rFonts w:ascii="Arial"/>
          <w:sz w:val="24"/>
          <w:szCs w:val="24"/>
        </w:rPr>
        <w:t xml:space="preserve"> amendment</w:t>
      </w:r>
      <w:r w:rsidR="00151D33" w:rsidRPr="00E26897">
        <w:rPr>
          <w:rFonts w:ascii="Arial"/>
          <w:sz w:val="24"/>
          <w:szCs w:val="24"/>
        </w:rPr>
        <w:t>:</w:t>
      </w:r>
    </w:p>
    <w:p w14:paraId="3F92D76F" w14:textId="10A4D778" w:rsidR="00843823" w:rsidRPr="00E26897" w:rsidRDefault="00843823" w:rsidP="00C36FA9">
      <w:pPr>
        <w:numPr>
          <w:ilvl w:val="0"/>
          <w:numId w:val="11"/>
        </w:numPr>
        <w:spacing w:before="120" w:line="232" w:lineRule="auto"/>
        <w:ind w:right="32"/>
        <w:rPr>
          <w:rFonts w:ascii="Arial"/>
          <w:sz w:val="24"/>
          <w:szCs w:val="24"/>
        </w:rPr>
      </w:pPr>
      <w:r w:rsidRPr="00E26897">
        <w:rPr>
          <w:rFonts w:ascii="Arial"/>
          <w:sz w:val="24"/>
          <w:szCs w:val="24"/>
        </w:rPr>
        <w:t xml:space="preserve">Rezones the site from General Residential Zone </w:t>
      </w:r>
      <w:r w:rsidRPr="00E26897">
        <w:rPr>
          <w:rFonts w:ascii="Arial"/>
          <w:sz w:val="24"/>
          <w:szCs w:val="24"/>
        </w:rPr>
        <w:t>–</w:t>
      </w:r>
      <w:r w:rsidRPr="00E26897">
        <w:rPr>
          <w:rFonts w:ascii="Arial"/>
          <w:sz w:val="24"/>
          <w:szCs w:val="24"/>
        </w:rPr>
        <w:t xml:space="preserve"> Schedule 1 (GRZ1) to Mixed Use Zone </w:t>
      </w:r>
      <w:r w:rsidR="005F0B08">
        <w:rPr>
          <w:rFonts w:ascii="Arial"/>
          <w:sz w:val="24"/>
          <w:szCs w:val="24"/>
        </w:rPr>
        <w:t>(Clause 32.04)</w:t>
      </w:r>
      <w:r w:rsidRPr="00E26897">
        <w:rPr>
          <w:rFonts w:ascii="Arial"/>
          <w:sz w:val="24"/>
          <w:szCs w:val="24"/>
        </w:rPr>
        <w:t xml:space="preserve"> to</w:t>
      </w:r>
      <w:r w:rsidR="006A5F6C">
        <w:rPr>
          <w:rFonts w:ascii="Arial"/>
          <w:sz w:val="24"/>
          <w:szCs w:val="24"/>
        </w:rPr>
        <w:t xml:space="preserve"> provide for the continu</w:t>
      </w:r>
      <w:r w:rsidR="00051DE4">
        <w:rPr>
          <w:rFonts w:ascii="Arial"/>
          <w:sz w:val="24"/>
          <w:szCs w:val="24"/>
        </w:rPr>
        <w:t>ed use of the site for offices</w:t>
      </w:r>
      <w:r w:rsidR="00A95C3E">
        <w:rPr>
          <w:rFonts w:ascii="Arial"/>
          <w:sz w:val="24"/>
          <w:szCs w:val="24"/>
        </w:rPr>
        <w:t xml:space="preserve"> and support future redevelopment.</w:t>
      </w:r>
    </w:p>
    <w:p w14:paraId="7F5F8E9E" w14:textId="04887820" w:rsidR="00843823" w:rsidRPr="00E26897" w:rsidRDefault="003A2F4C" w:rsidP="00C36FA9">
      <w:pPr>
        <w:numPr>
          <w:ilvl w:val="0"/>
          <w:numId w:val="11"/>
        </w:numPr>
        <w:spacing w:before="120" w:line="232" w:lineRule="auto"/>
        <w:ind w:right="32"/>
        <w:rPr>
          <w:rFonts w:ascii="Arial"/>
          <w:sz w:val="24"/>
          <w:szCs w:val="24"/>
        </w:rPr>
      </w:pPr>
      <w:r w:rsidRPr="00E26897">
        <w:rPr>
          <w:rFonts w:ascii="Arial"/>
          <w:sz w:val="24"/>
          <w:szCs w:val="24"/>
        </w:rPr>
        <w:t>I</w:t>
      </w:r>
      <w:r w:rsidR="003D726F">
        <w:rPr>
          <w:rFonts w:ascii="Arial"/>
          <w:sz w:val="24"/>
          <w:szCs w:val="24"/>
        </w:rPr>
        <w:t>nserts</w:t>
      </w:r>
      <w:r w:rsidR="00843823" w:rsidRPr="00E26897">
        <w:rPr>
          <w:rFonts w:ascii="Arial"/>
          <w:sz w:val="24"/>
          <w:szCs w:val="24"/>
        </w:rPr>
        <w:t xml:space="preserve"> a new Schedule </w:t>
      </w:r>
      <w:bookmarkStart w:id="5" w:name="_Hlk150177737"/>
      <w:r w:rsidR="00843823" w:rsidRPr="00E26897">
        <w:rPr>
          <w:rFonts w:ascii="Arial"/>
          <w:sz w:val="24"/>
          <w:szCs w:val="24"/>
        </w:rPr>
        <w:t xml:space="preserve">84 </w:t>
      </w:r>
      <w:bookmarkEnd w:id="5"/>
      <w:r w:rsidR="00843823" w:rsidRPr="00E26897">
        <w:rPr>
          <w:rFonts w:ascii="Arial"/>
          <w:sz w:val="24"/>
          <w:szCs w:val="24"/>
        </w:rPr>
        <w:t>to the Design and Development Overlay</w:t>
      </w:r>
      <w:r w:rsidR="005F0B08">
        <w:rPr>
          <w:rFonts w:ascii="Arial"/>
          <w:sz w:val="24"/>
          <w:szCs w:val="24"/>
        </w:rPr>
        <w:t xml:space="preserve"> (Clause 43.02)</w:t>
      </w:r>
      <w:r w:rsidR="00843823" w:rsidRPr="00E26897">
        <w:rPr>
          <w:rFonts w:ascii="Arial"/>
          <w:sz w:val="24"/>
          <w:szCs w:val="24"/>
        </w:rPr>
        <w:t xml:space="preserve"> </w:t>
      </w:r>
      <w:r w:rsidR="00A95C3E">
        <w:rPr>
          <w:rFonts w:ascii="Arial"/>
          <w:sz w:val="24"/>
          <w:szCs w:val="24"/>
        </w:rPr>
        <w:t>to guide appropriate built form through discretionary building heights and setbacks, street wall heights and upper-level setbacks.</w:t>
      </w:r>
    </w:p>
    <w:p w14:paraId="515C30E2" w14:textId="705F64C9" w:rsidR="00E860CD" w:rsidRDefault="00DD6B99" w:rsidP="00C36FA9">
      <w:pPr>
        <w:numPr>
          <w:ilvl w:val="0"/>
          <w:numId w:val="11"/>
        </w:numPr>
        <w:spacing w:before="120" w:line="232" w:lineRule="auto"/>
        <w:ind w:right="32"/>
        <w:rPr>
          <w:rFonts w:ascii="Arial"/>
          <w:sz w:val="24"/>
          <w:szCs w:val="24"/>
        </w:rPr>
      </w:pPr>
      <w:r>
        <w:rPr>
          <w:rFonts w:ascii="Arial"/>
          <w:sz w:val="24"/>
          <w:szCs w:val="24"/>
        </w:rPr>
        <w:t>Amends Planning Scheme Map</w:t>
      </w:r>
      <w:r w:rsidR="00FA34C9">
        <w:rPr>
          <w:rFonts w:ascii="Arial"/>
          <w:sz w:val="24"/>
          <w:szCs w:val="24"/>
        </w:rPr>
        <w:t xml:space="preserve"> 4</w:t>
      </w:r>
      <w:r w:rsidR="00843823" w:rsidRPr="00E26897">
        <w:rPr>
          <w:rFonts w:ascii="Arial"/>
          <w:sz w:val="24"/>
          <w:szCs w:val="24"/>
        </w:rPr>
        <w:t xml:space="preserve"> and </w:t>
      </w:r>
      <w:r>
        <w:rPr>
          <w:rFonts w:ascii="Arial"/>
          <w:sz w:val="24"/>
          <w:szCs w:val="24"/>
        </w:rPr>
        <w:t xml:space="preserve">inserts </w:t>
      </w:r>
      <w:r w:rsidR="00843823" w:rsidRPr="00E26897">
        <w:rPr>
          <w:rFonts w:ascii="Arial"/>
          <w:sz w:val="24"/>
          <w:szCs w:val="24"/>
        </w:rPr>
        <w:t>Map</w:t>
      </w:r>
      <w:r w:rsidR="00241BE1">
        <w:rPr>
          <w:rFonts w:ascii="Arial"/>
          <w:sz w:val="24"/>
          <w:szCs w:val="24"/>
        </w:rPr>
        <w:t xml:space="preserve"> </w:t>
      </w:r>
      <w:r w:rsidR="00843823" w:rsidRPr="00E26897">
        <w:rPr>
          <w:rFonts w:ascii="Arial"/>
          <w:sz w:val="24"/>
          <w:szCs w:val="24"/>
        </w:rPr>
        <w:t>4</w:t>
      </w:r>
      <w:r w:rsidR="00241BE1">
        <w:rPr>
          <w:rFonts w:ascii="Arial"/>
          <w:sz w:val="24"/>
          <w:szCs w:val="24"/>
        </w:rPr>
        <w:t>DDO</w:t>
      </w:r>
      <w:r w:rsidR="00843823" w:rsidRPr="00E26897">
        <w:rPr>
          <w:rFonts w:ascii="Arial"/>
          <w:sz w:val="24"/>
          <w:szCs w:val="24"/>
        </w:rPr>
        <w:t xml:space="preserve"> to rezone the land</w:t>
      </w:r>
      <w:r w:rsidR="00FA34C9">
        <w:rPr>
          <w:rFonts w:ascii="Arial"/>
          <w:sz w:val="24"/>
          <w:szCs w:val="24"/>
        </w:rPr>
        <w:t xml:space="preserve"> to the </w:t>
      </w:r>
      <w:proofErr w:type="gramStart"/>
      <w:r w:rsidR="00FA34C9">
        <w:rPr>
          <w:rFonts w:ascii="Arial"/>
          <w:sz w:val="24"/>
          <w:szCs w:val="24"/>
        </w:rPr>
        <w:t>Mixed Use</w:t>
      </w:r>
      <w:proofErr w:type="gramEnd"/>
      <w:r w:rsidR="00FA34C9">
        <w:rPr>
          <w:rFonts w:ascii="Arial"/>
          <w:sz w:val="24"/>
          <w:szCs w:val="24"/>
        </w:rPr>
        <w:t xml:space="preserve"> Zone</w:t>
      </w:r>
      <w:r w:rsidR="00843823" w:rsidRPr="00E26897">
        <w:rPr>
          <w:rFonts w:ascii="Arial"/>
          <w:sz w:val="24"/>
          <w:szCs w:val="24"/>
        </w:rPr>
        <w:t xml:space="preserve"> and apply the new Schedule 84 to the Design and Development Overlay.</w:t>
      </w:r>
      <w:bookmarkStart w:id="6" w:name="Strategic_assessment_of_the_amendment"/>
      <w:bookmarkEnd w:id="6"/>
    </w:p>
    <w:p w14:paraId="2249DB54" w14:textId="696EF662" w:rsidR="00051DE4" w:rsidRPr="00A73BC4" w:rsidRDefault="00DD6B99" w:rsidP="00C36FA9">
      <w:pPr>
        <w:numPr>
          <w:ilvl w:val="0"/>
          <w:numId w:val="11"/>
        </w:numPr>
        <w:spacing w:before="120" w:line="232" w:lineRule="auto"/>
        <w:ind w:right="32"/>
        <w:rPr>
          <w:rFonts w:ascii="Arial"/>
          <w:sz w:val="24"/>
          <w:szCs w:val="24"/>
        </w:rPr>
      </w:pPr>
      <w:r>
        <w:rPr>
          <w:rFonts w:ascii="Arial"/>
          <w:sz w:val="24"/>
          <w:szCs w:val="24"/>
        </w:rPr>
        <w:t>Amends the Schedule to Clause 72.</w:t>
      </w:r>
      <w:r w:rsidR="005F0B08">
        <w:rPr>
          <w:rFonts w:ascii="Arial"/>
          <w:sz w:val="24"/>
          <w:szCs w:val="24"/>
        </w:rPr>
        <w:t>0</w:t>
      </w:r>
      <w:r>
        <w:rPr>
          <w:rFonts w:ascii="Arial"/>
          <w:sz w:val="24"/>
          <w:szCs w:val="24"/>
        </w:rPr>
        <w:t xml:space="preserve">3-What the </w:t>
      </w:r>
      <w:r w:rsidR="001C1437">
        <w:rPr>
          <w:rFonts w:ascii="Arial"/>
          <w:sz w:val="24"/>
          <w:szCs w:val="24"/>
        </w:rPr>
        <w:t xml:space="preserve">planning scheme </w:t>
      </w:r>
      <w:r w:rsidR="006D48D8">
        <w:rPr>
          <w:rFonts w:ascii="Arial"/>
          <w:sz w:val="24"/>
          <w:szCs w:val="24"/>
        </w:rPr>
        <w:t>consists of</w:t>
      </w:r>
      <w:r>
        <w:rPr>
          <w:rFonts w:ascii="Arial"/>
          <w:sz w:val="24"/>
          <w:szCs w:val="24"/>
        </w:rPr>
        <w:t>.</w:t>
      </w:r>
    </w:p>
    <w:p w14:paraId="2E3AD225" w14:textId="77777777" w:rsidR="005C1EE8" w:rsidRPr="009454C8" w:rsidRDefault="005C1EE8" w:rsidP="00C36FA9">
      <w:pPr>
        <w:ind w:right="32"/>
        <w:rPr>
          <w:rFonts w:ascii="Arial"/>
          <w:b/>
          <w:sz w:val="32"/>
          <w:szCs w:val="32"/>
        </w:rPr>
      </w:pPr>
      <w:r w:rsidRPr="009454C8">
        <w:rPr>
          <w:rFonts w:ascii="Arial"/>
          <w:b/>
          <w:sz w:val="32"/>
          <w:szCs w:val="32"/>
        </w:rPr>
        <w:lastRenderedPageBreak/>
        <w:t>Strategic assessment of the amendment</w:t>
      </w:r>
    </w:p>
    <w:p w14:paraId="324B05EB" w14:textId="77777777" w:rsidR="00461F1E" w:rsidRPr="00537DE1" w:rsidRDefault="00461F1E" w:rsidP="00C36FA9">
      <w:pPr>
        <w:pStyle w:val="BodyText"/>
        <w:spacing w:before="3"/>
        <w:ind w:right="32"/>
        <w:rPr>
          <w:rFonts w:ascii="Arial"/>
          <w:sz w:val="20"/>
        </w:rPr>
      </w:pPr>
    </w:p>
    <w:p w14:paraId="331F17C5" w14:textId="44C7623D" w:rsidR="005C1EE8" w:rsidRPr="00936FFB" w:rsidRDefault="00151D33" w:rsidP="00C36FA9">
      <w:pPr>
        <w:spacing w:before="93"/>
        <w:ind w:right="32"/>
        <w:rPr>
          <w:rFonts w:ascii="Arial"/>
          <w:b/>
          <w:sz w:val="28"/>
          <w:szCs w:val="28"/>
        </w:rPr>
      </w:pPr>
      <w:bookmarkStart w:id="7" w:name="Why_is_the_amendment_required?"/>
      <w:bookmarkEnd w:id="7"/>
      <w:r w:rsidRPr="00936FFB">
        <w:rPr>
          <w:rFonts w:ascii="Arial"/>
          <w:b/>
          <w:sz w:val="28"/>
          <w:szCs w:val="28"/>
        </w:rPr>
        <w:t>W</w:t>
      </w:r>
      <w:r w:rsidR="005C1EE8" w:rsidRPr="00936FFB">
        <w:rPr>
          <w:rFonts w:ascii="Arial"/>
          <w:b/>
          <w:sz w:val="28"/>
          <w:szCs w:val="28"/>
        </w:rPr>
        <w:t>hy is the amendment required?</w:t>
      </w:r>
    </w:p>
    <w:p w14:paraId="30109AD9" w14:textId="77777777" w:rsidR="00413D44" w:rsidRDefault="00413D44" w:rsidP="00C36FA9">
      <w:pPr>
        <w:spacing w:before="93"/>
        <w:ind w:right="32"/>
        <w:rPr>
          <w:rFonts w:ascii="Arial"/>
          <w:b/>
          <w:sz w:val="20"/>
        </w:rPr>
      </w:pPr>
    </w:p>
    <w:p w14:paraId="42EC5DC4" w14:textId="5FBE0C07" w:rsidR="00770638" w:rsidRPr="00E26897" w:rsidRDefault="00413D44" w:rsidP="00C36FA9">
      <w:pPr>
        <w:widowControl/>
        <w:autoSpaceDE/>
        <w:autoSpaceDN/>
        <w:spacing w:after="200"/>
        <w:ind w:right="23"/>
        <w:rPr>
          <w:rFonts w:ascii="Arial"/>
          <w:sz w:val="24"/>
          <w:szCs w:val="24"/>
        </w:rPr>
      </w:pPr>
      <w:r w:rsidRPr="00E26897">
        <w:rPr>
          <w:rFonts w:ascii="Arial"/>
          <w:sz w:val="24"/>
          <w:szCs w:val="24"/>
        </w:rPr>
        <w:t xml:space="preserve">The ETU has owned and occupied the site at </w:t>
      </w:r>
      <w:r w:rsidR="00A62150">
        <w:rPr>
          <w:rFonts w:ascii="Arial"/>
          <w:sz w:val="24"/>
          <w:szCs w:val="24"/>
        </w:rPr>
        <w:t>192-</w:t>
      </w:r>
      <w:r w:rsidRPr="00E26897">
        <w:rPr>
          <w:rFonts w:ascii="Arial"/>
          <w:sz w:val="24"/>
          <w:szCs w:val="24"/>
        </w:rPr>
        <w:t xml:space="preserve">200 Arden Street, North Melbourne for in excess of 10 years and currently utilises the site predominantly as its administrative head office and for some training and health services. They intend to continue this use of the site and in the future increase the building floor area to accommodate expanded </w:t>
      </w:r>
      <w:r w:rsidR="00102A1A">
        <w:rPr>
          <w:rFonts w:ascii="Arial"/>
          <w:sz w:val="24"/>
          <w:szCs w:val="24"/>
        </w:rPr>
        <w:t xml:space="preserve">office and training </w:t>
      </w:r>
      <w:r w:rsidRPr="00E26897">
        <w:rPr>
          <w:rFonts w:ascii="Arial"/>
          <w:sz w:val="24"/>
          <w:szCs w:val="24"/>
        </w:rPr>
        <w:t>facilities.</w:t>
      </w:r>
    </w:p>
    <w:p w14:paraId="4ADF9CCF" w14:textId="607FC382" w:rsidR="005C1EE8" w:rsidRPr="00102A1A" w:rsidRDefault="00413D44" w:rsidP="00C36FA9">
      <w:pPr>
        <w:widowControl/>
        <w:autoSpaceDE/>
        <w:autoSpaceDN/>
        <w:spacing w:after="200"/>
        <w:ind w:right="23"/>
        <w:rPr>
          <w:rFonts w:ascii="Arial"/>
          <w:sz w:val="24"/>
          <w:szCs w:val="24"/>
        </w:rPr>
      </w:pPr>
      <w:r w:rsidRPr="00E26897">
        <w:rPr>
          <w:rFonts w:ascii="Arial"/>
          <w:sz w:val="24"/>
          <w:szCs w:val="24"/>
        </w:rPr>
        <w:t xml:space="preserve">The current use and established built form of the site do not align with the planning controls applying to the land. Office use is prohibited under the GRZ1 unless associated with a significant residential development with affordable housing and training facilities, (defined as Education Centres) is a section 2 permit required use. As the predominate office use continues to operate under Existing Use Rights in accordance with Clause 63.01, the ETU considers that this does not provide a suitable level of certainly regarding the ongoing use of the site or plan for the future expansion of the existing office and training facilities. </w:t>
      </w:r>
      <w:proofErr w:type="gramStart"/>
      <w:r w:rsidRPr="00E26897">
        <w:rPr>
          <w:rFonts w:ascii="Arial"/>
          <w:sz w:val="24"/>
          <w:szCs w:val="24"/>
        </w:rPr>
        <w:t>Furthermore</w:t>
      </w:r>
      <w:proofErr w:type="gramEnd"/>
      <w:r w:rsidRPr="00E26897">
        <w:rPr>
          <w:rFonts w:ascii="Arial"/>
          <w:sz w:val="24"/>
          <w:szCs w:val="24"/>
        </w:rPr>
        <w:t xml:space="preserve"> the GRZ1 includes a mandatory maximum building height limit of 11 metres for a dwelling or a residential building which is below the </w:t>
      </w:r>
      <w:r w:rsidR="00102A1A">
        <w:rPr>
          <w:rFonts w:ascii="Arial"/>
          <w:sz w:val="24"/>
          <w:szCs w:val="24"/>
        </w:rPr>
        <w:t xml:space="preserve">20 metre </w:t>
      </w:r>
      <w:r w:rsidRPr="00E26897">
        <w:rPr>
          <w:rFonts w:ascii="Arial"/>
          <w:sz w:val="24"/>
          <w:szCs w:val="24"/>
        </w:rPr>
        <w:t xml:space="preserve">height of the existing Mills heritage building. </w:t>
      </w:r>
    </w:p>
    <w:p w14:paraId="71339F8D" w14:textId="2587E474" w:rsidR="00A229E1" w:rsidRPr="00E26897" w:rsidRDefault="005C1EE8" w:rsidP="00C36FA9">
      <w:pPr>
        <w:spacing w:before="181"/>
        <w:ind w:right="32"/>
        <w:rPr>
          <w:rFonts w:ascii="Arial"/>
          <w:b/>
          <w:sz w:val="28"/>
          <w:szCs w:val="28"/>
        </w:rPr>
      </w:pPr>
      <w:bookmarkStart w:id="8" w:name="How_does_the_amendment_implement_the_obj"/>
      <w:bookmarkEnd w:id="8"/>
      <w:r w:rsidRPr="00E26897">
        <w:rPr>
          <w:rFonts w:ascii="Arial"/>
          <w:b/>
          <w:sz w:val="28"/>
          <w:szCs w:val="28"/>
        </w:rPr>
        <w:t>How does the amendment implement the objectives of planning in Victoria?</w:t>
      </w:r>
    </w:p>
    <w:p w14:paraId="56BF9B55" w14:textId="77777777" w:rsidR="00A229E1" w:rsidRDefault="00A229E1" w:rsidP="00C36FA9">
      <w:pPr>
        <w:pStyle w:val="Bullet1"/>
        <w:numPr>
          <w:ilvl w:val="0"/>
          <w:numId w:val="0"/>
        </w:numPr>
        <w:rPr>
          <w:color w:val="auto"/>
          <w:sz w:val="24"/>
          <w:szCs w:val="24"/>
        </w:rPr>
      </w:pPr>
    </w:p>
    <w:p w14:paraId="10FC148A" w14:textId="15E328B4" w:rsidR="00A229E1" w:rsidRPr="004A1B9B" w:rsidRDefault="00EA5F4B" w:rsidP="00C36FA9">
      <w:pPr>
        <w:pStyle w:val="Bullet1"/>
        <w:numPr>
          <w:ilvl w:val="0"/>
          <w:numId w:val="0"/>
        </w:numPr>
        <w:rPr>
          <w:color w:val="auto"/>
        </w:rPr>
      </w:pPr>
      <w:r w:rsidRPr="00C57E72">
        <w:rPr>
          <w:color w:val="auto"/>
          <w:sz w:val="24"/>
          <w:szCs w:val="24"/>
        </w:rPr>
        <w:t xml:space="preserve">The amendment implements the following </w:t>
      </w:r>
      <w:r w:rsidR="00A229E1" w:rsidRPr="00C57E72">
        <w:rPr>
          <w:color w:val="auto"/>
          <w:sz w:val="24"/>
          <w:szCs w:val="24"/>
        </w:rPr>
        <w:t xml:space="preserve">objectives of planning in Victoria by </w:t>
      </w:r>
      <w:r w:rsidR="00C57E72" w:rsidRPr="00C57E72">
        <w:rPr>
          <w:color w:val="auto"/>
          <w:sz w:val="24"/>
          <w:szCs w:val="24"/>
        </w:rPr>
        <w:t>as set out</w:t>
      </w:r>
      <w:r w:rsidR="00A229E1" w:rsidRPr="00C57E72">
        <w:rPr>
          <w:color w:val="auto"/>
          <w:sz w:val="24"/>
          <w:szCs w:val="24"/>
        </w:rPr>
        <w:t xml:space="preserve"> in Section 4 (1) and 12(1)(a) of the </w:t>
      </w:r>
      <w:r w:rsidR="00A229E1" w:rsidRPr="00C57E72">
        <w:rPr>
          <w:i/>
          <w:color w:val="auto"/>
          <w:sz w:val="24"/>
          <w:szCs w:val="24"/>
        </w:rPr>
        <w:t>Planning and Environment Act 1987</w:t>
      </w:r>
      <w:r w:rsidRPr="00C57E72">
        <w:rPr>
          <w:i/>
          <w:color w:val="auto"/>
          <w:sz w:val="24"/>
          <w:szCs w:val="24"/>
        </w:rPr>
        <w:t xml:space="preserve"> </w:t>
      </w:r>
      <w:r w:rsidRPr="000F7B78">
        <w:rPr>
          <w:iCs/>
          <w:color w:val="auto"/>
          <w:sz w:val="24"/>
          <w:szCs w:val="24"/>
        </w:rPr>
        <w:t>specifically</w:t>
      </w:r>
      <w:r w:rsidR="00A229E1" w:rsidRPr="00C57E72">
        <w:rPr>
          <w:color w:val="auto"/>
          <w:sz w:val="24"/>
          <w:szCs w:val="24"/>
        </w:rPr>
        <w:t>:</w:t>
      </w:r>
    </w:p>
    <w:p w14:paraId="66D14855" w14:textId="034A6B22" w:rsidR="00C57E72" w:rsidRPr="00C57E72" w:rsidRDefault="00C57E72" w:rsidP="00621929">
      <w:pPr>
        <w:pStyle w:val="ListParagraph"/>
        <w:numPr>
          <w:ilvl w:val="0"/>
          <w:numId w:val="12"/>
        </w:numPr>
        <w:ind w:left="567" w:hanging="567"/>
        <w:rPr>
          <w:rFonts w:ascii="Arial" w:eastAsia="Times New Roman" w:hAnsi="Arial" w:cs="Arial"/>
          <w:i/>
          <w:sz w:val="24"/>
          <w:szCs w:val="24"/>
          <w:lang w:bidi="ar-SA"/>
        </w:rPr>
      </w:pPr>
      <w:r w:rsidRPr="00C57E72">
        <w:rPr>
          <w:rFonts w:ascii="Arial" w:eastAsia="Times New Roman" w:hAnsi="Arial" w:cs="Arial"/>
          <w:i/>
          <w:sz w:val="24"/>
          <w:szCs w:val="24"/>
          <w:lang w:bidi="ar-SA"/>
        </w:rPr>
        <w:t xml:space="preserve">to provide for the fair, orderly, economic and sustainable use, and development of </w:t>
      </w:r>
      <w:proofErr w:type="gramStart"/>
      <w:r w:rsidRPr="00C57E72">
        <w:rPr>
          <w:rFonts w:ascii="Arial" w:eastAsia="Times New Roman" w:hAnsi="Arial" w:cs="Arial"/>
          <w:i/>
          <w:sz w:val="24"/>
          <w:szCs w:val="24"/>
          <w:lang w:bidi="ar-SA"/>
        </w:rPr>
        <w:t>land;</w:t>
      </w:r>
      <w:proofErr w:type="gramEnd"/>
      <w:r w:rsidRPr="00C57E72">
        <w:rPr>
          <w:rFonts w:ascii="Arial" w:eastAsia="Times New Roman" w:hAnsi="Arial" w:cs="Arial"/>
          <w:i/>
          <w:sz w:val="24"/>
          <w:szCs w:val="24"/>
          <w:lang w:bidi="ar-SA"/>
        </w:rPr>
        <w:t xml:space="preserve"> </w:t>
      </w:r>
    </w:p>
    <w:p w14:paraId="05D0E16A" w14:textId="301C697F" w:rsidR="00C57E72" w:rsidRPr="00C57E72" w:rsidRDefault="00C57E72" w:rsidP="00621929">
      <w:pPr>
        <w:pStyle w:val="ListParagraph"/>
        <w:numPr>
          <w:ilvl w:val="0"/>
          <w:numId w:val="18"/>
        </w:numPr>
        <w:ind w:left="567" w:hanging="567"/>
        <w:rPr>
          <w:rFonts w:ascii="Arial" w:eastAsia="Times New Roman" w:hAnsi="Arial" w:cs="Arial"/>
          <w:i/>
          <w:sz w:val="24"/>
          <w:szCs w:val="24"/>
          <w:lang w:bidi="ar-SA"/>
        </w:rPr>
      </w:pPr>
      <w:r w:rsidRPr="00C57E72">
        <w:rPr>
          <w:rFonts w:ascii="Arial" w:eastAsia="Times New Roman" w:hAnsi="Arial" w:cs="Arial"/>
          <w:i/>
          <w:sz w:val="24"/>
          <w:szCs w:val="24"/>
          <w:lang w:bidi="ar-SA"/>
        </w:rPr>
        <w:t xml:space="preserve">to secure a pleasant, efficient and safe working, living and recreational environment for all Victorians and visitors to </w:t>
      </w:r>
      <w:proofErr w:type="gramStart"/>
      <w:r w:rsidRPr="00C57E72">
        <w:rPr>
          <w:rFonts w:ascii="Arial" w:eastAsia="Times New Roman" w:hAnsi="Arial" w:cs="Arial"/>
          <w:i/>
          <w:sz w:val="24"/>
          <w:szCs w:val="24"/>
          <w:lang w:bidi="ar-SA"/>
        </w:rPr>
        <w:t>Victoria;</w:t>
      </w:r>
      <w:proofErr w:type="gramEnd"/>
      <w:r w:rsidRPr="00C57E72">
        <w:rPr>
          <w:rFonts w:ascii="Arial" w:eastAsia="Times New Roman" w:hAnsi="Arial" w:cs="Arial"/>
          <w:i/>
          <w:sz w:val="24"/>
          <w:szCs w:val="24"/>
          <w:lang w:bidi="ar-SA"/>
        </w:rPr>
        <w:t xml:space="preserve"> </w:t>
      </w:r>
    </w:p>
    <w:p w14:paraId="39644EA3" w14:textId="5F25332A" w:rsidR="00C57E72" w:rsidRPr="00C57E72" w:rsidRDefault="00C57E72" w:rsidP="00621929">
      <w:pPr>
        <w:pStyle w:val="ListParagraph"/>
        <w:numPr>
          <w:ilvl w:val="0"/>
          <w:numId w:val="18"/>
        </w:numPr>
        <w:ind w:left="567" w:hanging="567"/>
        <w:rPr>
          <w:rFonts w:ascii="Arial" w:eastAsia="Times New Roman" w:hAnsi="Arial" w:cs="Arial"/>
          <w:i/>
          <w:sz w:val="24"/>
          <w:szCs w:val="24"/>
          <w:lang w:bidi="ar-SA"/>
        </w:rPr>
      </w:pPr>
      <w:r w:rsidRPr="00C57E72">
        <w:rPr>
          <w:rFonts w:ascii="Arial" w:eastAsia="Times New Roman" w:hAnsi="Arial" w:cs="Arial"/>
          <w:i/>
          <w:sz w:val="24"/>
          <w:szCs w:val="24"/>
          <w:lang w:bidi="ar-SA"/>
        </w:rPr>
        <w:t xml:space="preserve">to conserve and enhance those buildings, areas or other places which are of scientific, aesthetic, architectural or historical interest, or otherwise of special cultural </w:t>
      </w:r>
      <w:proofErr w:type="gramStart"/>
      <w:r w:rsidRPr="00C57E72">
        <w:rPr>
          <w:rFonts w:ascii="Arial" w:eastAsia="Times New Roman" w:hAnsi="Arial" w:cs="Arial"/>
          <w:i/>
          <w:sz w:val="24"/>
          <w:szCs w:val="24"/>
          <w:lang w:bidi="ar-SA"/>
        </w:rPr>
        <w:t>value;</w:t>
      </w:r>
      <w:proofErr w:type="gramEnd"/>
      <w:r w:rsidRPr="00C57E72">
        <w:rPr>
          <w:rFonts w:ascii="Arial" w:eastAsia="Times New Roman" w:hAnsi="Arial" w:cs="Arial"/>
          <w:i/>
          <w:sz w:val="24"/>
          <w:szCs w:val="24"/>
          <w:lang w:bidi="ar-SA"/>
        </w:rPr>
        <w:t xml:space="preserve"> </w:t>
      </w:r>
    </w:p>
    <w:p w14:paraId="5829A6B8" w14:textId="7D292B65" w:rsidR="00C57E72" w:rsidRPr="00C57E72" w:rsidRDefault="00C57E72" w:rsidP="00621929">
      <w:pPr>
        <w:pStyle w:val="ListParagraph"/>
        <w:numPr>
          <w:ilvl w:val="0"/>
          <w:numId w:val="19"/>
        </w:numPr>
        <w:ind w:left="567" w:hanging="567"/>
        <w:rPr>
          <w:rFonts w:ascii="Arial" w:eastAsia="Times New Roman" w:hAnsi="Arial" w:cs="Arial"/>
          <w:i/>
          <w:sz w:val="24"/>
          <w:szCs w:val="24"/>
          <w:lang w:bidi="ar-SA"/>
        </w:rPr>
      </w:pPr>
      <w:r w:rsidRPr="00C57E72">
        <w:rPr>
          <w:rFonts w:ascii="Arial" w:eastAsia="Times New Roman" w:hAnsi="Arial" w:cs="Arial"/>
          <w:i/>
          <w:sz w:val="24"/>
          <w:szCs w:val="24"/>
          <w:lang w:bidi="ar-SA"/>
        </w:rPr>
        <w:t xml:space="preserve">to facilitate </w:t>
      </w:r>
      <w:hyperlink r:id="rId18" w:anchor="development" w:history="1">
        <w:r w:rsidRPr="00C57E72">
          <w:rPr>
            <w:rFonts w:ascii="Arial" w:eastAsia="Times New Roman" w:hAnsi="Arial" w:cs="Arial"/>
            <w:i/>
            <w:sz w:val="24"/>
            <w:szCs w:val="24"/>
            <w:lang w:bidi="ar-SA"/>
          </w:rPr>
          <w:t>development</w:t>
        </w:r>
      </w:hyperlink>
      <w:r w:rsidRPr="00C57E72">
        <w:rPr>
          <w:rFonts w:ascii="Arial" w:eastAsia="Times New Roman" w:hAnsi="Arial" w:cs="Arial"/>
          <w:i/>
          <w:sz w:val="24"/>
          <w:szCs w:val="24"/>
          <w:lang w:bidi="ar-SA"/>
        </w:rPr>
        <w:t xml:space="preserve"> in accordance with the objectives set out in paragraphs (a), (b), (c), (d);</w:t>
      </w:r>
    </w:p>
    <w:p w14:paraId="7255708F" w14:textId="14BA8B6C" w:rsidR="00EA1301" w:rsidRDefault="00C57E72" w:rsidP="005B5AD6">
      <w:pPr>
        <w:pStyle w:val="ListParagraph"/>
        <w:numPr>
          <w:ilvl w:val="0"/>
          <w:numId w:val="19"/>
        </w:numPr>
        <w:ind w:left="567" w:hanging="567"/>
        <w:rPr>
          <w:rFonts w:ascii="Arial" w:eastAsia="Times New Roman" w:hAnsi="Arial" w:cs="Arial"/>
          <w:i/>
          <w:sz w:val="24"/>
          <w:szCs w:val="24"/>
          <w:lang w:bidi="ar-SA"/>
        </w:rPr>
      </w:pPr>
      <w:r w:rsidRPr="00C57E72">
        <w:rPr>
          <w:rFonts w:ascii="Arial" w:eastAsia="Times New Roman" w:hAnsi="Arial" w:cs="Arial"/>
          <w:i/>
          <w:sz w:val="24"/>
          <w:szCs w:val="24"/>
          <w:lang w:bidi="ar-SA"/>
        </w:rPr>
        <w:t>to balance the present and future interests of all Victorians.</w:t>
      </w:r>
    </w:p>
    <w:p w14:paraId="53836DB3" w14:textId="77777777" w:rsidR="005B5AD6" w:rsidRPr="005B5AD6" w:rsidRDefault="005B5AD6" w:rsidP="005B5AD6">
      <w:pPr>
        <w:pStyle w:val="ListParagraph"/>
        <w:ind w:left="567" w:firstLine="0"/>
        <w:rPr>
          <w:rFonts w:ascii="Arial" w:eastAsia="Times New Roman" w:hAnsi="Arial" w:cs="Arial"/>
          <w:i/>
          <w:sz w:val="24"/>
          <w:szCs w:val="24"/>
          <w:lang w:bidi="ar-SA"/>
        </w:rPr>
      </w:pPr>
    </w:p>
    <w:p w14:paraId="2B5A5D02" w14:textId="58FCB916" w:rsidR="00C57E72" w:rsidRPr="00BC76F7" w:rsidRDefault="00585DDE" w:rsidP="00C36FA9">
      <w:pPr>
        <w:widowControl/>
        <w:autoSpaceDE/>
        <w:autoSpaceDN/>
        <w:spacing w:before="120"/>
        <w:rPr>
          <w:rFonts w:ascii="Arial" w:eastAsia="Times New Roman" w:hAnsi="Arial" w:cs="Arial"/>
          <w:sz w:val="24"/>
          <w:szCs w:val="24"/>
          <w:lang w:val="en-GB" w:bidi="ar-SA"/>
        </w:rPr>
      </w:pPr>
      <w:r w:rsidRPr="00BC76F7">
        <w:rPr>
          <w:rFonts w:ascii="Arial" w:eastAsia="Times New Roman" w:hAnsi="Arial" w:cs="Arial"/>
          <w:sz w:val="24"/>
          <w:szCs w:val="24"/>
          <w:lang w:val="en-GB" w:bidi="ar-SA"/>
        </w:rPr>
        <w:t>The amendment</w:t>
      </w:r>
      <w:r w:rsidR="000376F8" w:rsidRPr="00BC76F7">
        <w:rPr>
          <w:rFonts w:ascii="Arial" w:eastAsia="Times New Roman" w:hAnsi="Arial" w:cs="Arial"/>
          <w:sz w:val="24"/>
          <w:szCs w:val="24"/>
          <w:lang w:val="en-GB" w:bidi="ar-SA"/>
        </w:rPr>
        <w:t xml:space="preserve"> imp</w:t>
      </w:r>
      <w:r w:rsidR="00C57E72" w:rsidRPr="00BC76F7">
        <w:rPr>
          <w:rFonts w:ascii="Arial" w:eastAsia="Times New Roman" w:hAnsi="Arial" w:cs="Arial"/>
          <w:sz w:val="24"/>
          <w:szCs w:val="24"/>
          <w:lang w:val="en-GB" w:bidi="ar-SA"/>
        </w:rPr>
        <w:t>lements these objectives by:</w:t>
      </w:r>
    </w:p>
    <w:p w14:paraId="299F6A29" w14:textId="6174B3B3" w:rsidR="00C57E72" w:rsidRPr="00621929" w:rsidRDefault="00C57E72" w:rsidP="00621929">
      <w:pPr>
        <w:numPr>
          <w:ilvl w:val="0"/>
          <w:numId w:val="11"/>
        </w:numPr>
        <w:spacing w:before="120" w:line="232" w:lineRule="auto"/>
        <w:ind w:right="32"/>
        <w:rPr>
          <w:rFonts w:ascii="Arial"/>
          <w:sz w:val="24"/>
          <w:szCs w:val="24"/>
        </w:rPr>
      </w:pPr>
      <w:r w:rsidRPr="00621929">
        <w:rPr>
          <w:rFonts w:ascii="Arial"/>
          <w:sz w:val="24"/>
          <w:szCs w:val="24"/>
        </w:rPr>
        <w:t>Enabling the land to be appropriately re-developed with a building of a scale that supports an econo</w:t>
      </w:r>
      <w:r w:rsidR="00D975B5" w:rsidRPr="00621929">
        <w:rPr>
          <w:rFonts w:ascii="Arial"/>
          <w:sz w:val="24"/>
          <w:szCs w:val="24"/>
        </w:rPr>
        <w:t>mically viable expan</w:t>
      </w:r>
      <w:r w:rsidRPr="00621929">
        <w:rPr>
          <w:rFonts w:ascii="Arial"/>
          <w:sz w:val="24"/>
          <w:szCs w:val="24"/>
        </w:rPr>
        <w:t>ded administrative offices and training facilities.</w:t>
      </w:r>
    </w:p>
    <w:p w14:paraId="63B8780A" w14:textId="1EDB92A5" w:rsidR="00C57E72" w:rsidRPr="00621929" w:rsidRDefault="00C57E72" w:rsidP="00621929">
      <w:pPr>
        <w:numPr>
          <w:ilvl w:val="0"/>
          <w:numId w:val="11"/>
        </w:numPr>
        <w:spacing w:before="120" w:line="232" w:lineRule="auto"/>
        <w:ind w:right="32"/>
        <w:rPr>
          <w:rFonts w:ascii="Arial"/>
          <w:sz w:val="24"/>
          <w:szCs w:val="24"/>
        </w:rPr>
      </w:pPr>
      <w:r w:rsidRPr="00621929">
        <w:rPr>
          <w:rFonts w:ascii="Arial"/>
          <w:sz w:val="24"/>
          <w:szCs w:val="24"/>
        </w:rPr>
        <w:t>Supporting new business and economic growth through contributing to diverse employment opportunities in a highly accessible location</w:t>
      </w:r>
      <w:r w:rsidR="00D975B5" w:rsidRPr="00621929">
        <w:rPr>
          <w:rFonts w:ascii="Arial"/>
          <w:sz w:val="24"/>
          <w:szCs w:val="24"/>
        </w:rPr>
        <w:t xml:space="preserve"> walking, cycling and public transport. </w:t>
      </w:r>
    </w:p>
    <w:p w14:paraId="59BA47C0" w14:textId="0E0EF3C6" w:rsidR="00C57E72" w:rsidRPr="00621929" w:rsidRDefault="00C57E72" w:rsidP="00621929">
      <w:pPr>
        <w:numPr>
          <w:ilvl w:val="0"/>
          <w:numId w:val="11"/>
        </w:numPr>
        <w:spacing w:before="120" w:line="232" w:lineRule="auto"/>
        <w:ind w:right="32"/>
        <w:rPr>
          <w:rFonts w:ascii="Arial"/>
          <w:sz w:val="24"/>
          <w:szCs w:val="24"/>
        </w:rPr>
      </w:pPr>
      <w:r w:rsidRPr="00621929">
        <w:rPr>
          <w:rFonts w:ascii="Arial"/>
          <w:sz w:val="24"/>
          <w:szCs w:val="24"/>
        </w:rPr>
        <w:lastRenderedPageBreak/>
        <w:t>Providing a development outcome that is responsive to the heritage values</w:t>
      </w:r>
      <w:r w:rsidR="00D975B5" w:rsidRPr="00621929">
        <w:rPr>
          <w:rFonts w:ascii="Arial"/>
          <w:sz w:val="24"/>
          <w:szCs w:val="24"/>
        </w:rPr>
        <w:t xml:space="preserve"> of the existing Mills building</w:t>
      </w:r>
      <w:r w:rsidRPr="00621929">
        <w:rPr>
          <w:rFonts w:ascii="Arial"/>
          <w:sz w:val="24"/>
          <w:szCs w:val="24"/>
        </w:rPr>
        <w:t xml:space="preserve"> and preferred character of the area</w:t>
      </w:r>
      <w:r w:rsidR="00D975B5" w:rsidRPr="00621929">
        <w:rPr>
          <w:rFonts w:ascii="Arial"/>
          <w:sz w:val="24"/>
          <w:szCs w:val="24"/>
        </w:rPr>
        <w:t>.</w:t>
      </w:r>
    </w:p>
    <w:p w14:paraId="5A5F7561" w14:textId="6B4D6AE7" w:rsidR="00C57E72" w:rsidRPr="00D975B5" w:rsidRDefault="00C57E72" w:rsidP="00621929">
      <w:pPr>
        <w:numPr>
          <w:ilvl w:val="0"/>
          <w:numId w:val="11"/>
        </w:numPr>
        <w:spacing w:before="120" w:line="232" w:lineRule="auto"/>
        <w:ind w:right="32"/>
        <w:rPr>
          <w:rFonts w:ascii="Arial" w:eastAsia="Times New Roman" w:hAnsi="Arial" w:cs="Arial"/>
          <w:sz w:val="24"/>
          <w:szCs w:val="24"/>
          <w:lang w:val="en-GB" w:bidi="ar-SA"/>
        </w:rPr>
      </w:pPr>
      <w:r w:rsidRPr="00621929">
        <w:rPr>
          <w:rFonts w:ascii="Arial"/>
          <w:sz w:val="24"/>
          <w:szCs w:val="24"/>
        </w:rPr>
        <w:t>Retaining high value heritage fabric at the site and proposing development that is respectful of the</w:t>
      </w:r>
      <w:r w:rsidRPr="00D975B5">
        <w:rPr>
          <w:rFonts w:ascii="Arial" w:eastAsia="Times New Roman" w:hAnsi="Arial" w:cs="Arial"/>
          <w:sz w:val="24"/>
          <w:szCs w:val="24"/>
          <w:lang w:val="en-GB" w:bidi="ar-SA"/>
        </w:rPr>
        <w:t xml:space="preserve"> heritage values of the </w:t>
      </w:r>
      <w:r w:rsidR="00D975B5" w:rsidRPr="00D975B5">
        <w:rPr>
          <w:rFonts w:ascii="Arial" w:eastAsia="Times New Roman" w:hAnsi="Arial" w:cs="Arial"/>
          <w:sz w:val="24"/>
          <w:szCs w:val="24"/>
          <w:lang w:val="en-GB" w:bidi="ar-SA"/>
        </w:rPr>
        <w:t>heritage Mills building</w:t>
      </w:r>
      <w:r w:rsidRPr="00D975B5">
        <w:rPr>
          <w:rFonts w:ascii="Arial" w:eastAsia="Times New Roman" w:hAnsi="Arial" w:cs="Arial"/>
          <w:sz w:val="24"/>
          <w:szCs w:val="24"/>
          <w:lang w:val="en-GB" w:bidi="ar-SA"/>
        </w:rPr>
        <w:t xml:space="preserve"> and </w:t>
      </w:r>
      <w:r w:rsidR="00D975B5">
        <w:rPr>
          <w:rFonts w:ascii="Arial" w:eastAsia="Times New Roman" w:hAnsi="Arial" w:cs="Arial"/>
          <w:sz w:val="24"/>
          <w:szCs w:val="24"/>
          <w:lang w:val="en-GB" w:bidi="ar-SA"/>
        </w:rPr>
        <w:t>the broader heritage precinct</w:t>
      </w:r>
      <w:r w:rsidR="00D975B5" w:rsidRPr="00D975B5">
        <w:rPr>
          <w:rFonts w:ascii="Arial" w:eastAsia="Times New Roman" w:hAnsi="Arial" w:cs="Arial"/>
          <w:sz w:val="24"/>
          <w:szCs w:val="24"/>
          <w:lang w:val="en-GB" w:bidi="ar-SA"/>
        </w:rPr>
        <w:t>.</w:t>
      </w:r>
    </w:p>
    <w:p w14:paraId="77DD240C" w14:textId="29009C96" w:rsidR="005C1EE8" w:rsidRPr="005D44F0" w:rsidRDefault="005C1EE8" w:rsidP="00C36FA9">
      <w:pPr>
        <w:spacing w:before="182"/>
        <w:ind w:right="32"/>
        <w:rPr>
          <w:rFonts w:ascii="Arial"/>
          <w:b/>
          <w:sz w:val="28"/>
          <w:szCs w:val="28"/>
        </w:rPr>
      </w:pPr>
      <w:bookmarkStart w:id="9" w:name="How_does_the_amendment_address_any_envir"/>
      <w:bookmarkEnd w:id="9"/>
      <w:r w:rsidRPr="005D44F0">
        <w:rPr>
          <w:rFonts w:ascii="Arial"/>
          <w:b/>
          <w:sz w:val="28"/>
          <w:szCs w:val="28"/>
        </w:rPr>
        <w:t>How does the amendment address any environmental, social and economic effects?</w:t>
      </w:r>
    </w:p>
    <w:p w14:paraId="1C574059" w14:textId="383F7354" w:rsidR="00516E69" w:rsidRDefault="00516E69" w:rsidP="00C36FA9">
      <w:pPr>
        <w:spacing w:before="182"/>
        <w:ind w:right="32"/>
        <w:rPr>
          <w:rFonts w:ascii="Arial" w:hAnsi="Arial" w:cs="Arial"/>
          <w:sz w:val="24"/>
          <w:szCs w:val="24"/>
        </w:rPr>
      </w:pPr>
      <w:r w:rsidRPr="005D44F0">
        <w:rPr>
          <w:rFonts w:ascii="Arial" w:hAnsi="Arial" w:cs="Arial"/>
          <w:sz w:val="24"/>
          <w:szCs w:val="24"/>
        </w:rPr>
        <w:t>The amendment will not result in any adverse environmental, social or economic effects</w:t>
      </w:r>
      <w:r w:rsidR="00151D33" w:rsidRPr="005D44F0">
        <w:rPr>
          <w:rFonts w:ascii="Arial" w:hAnsi="Arial" w:cs="Arial"/>
          <w:sz w:val="24"/>
          <w:szCs w:val="24"/>
        </w:rPr>
        <w:t>.</w:t>
      </w:r>
      <w:r w:rsidR="007A43E5">
        <w:rPr>
          <w:rFonts w:ascii="Arial" w:hAnsi="Arial" w:cs="Arial"/>
          <w:sz w:val="24"/>
          <w:szCs w:val="24"/>
        </w:rPr>
        <w:t xml:space="preserve"> The amendment is likely to have positive environmental, social and economic benefits by: </w:t>
      </w:r>
    </w:p>
    <w:p w14:paraId="37465E9A" w14:textId="3C973F6B" w:rsidR="007A43E5" w:rsidRPr="007A43E5" w:rsidRDefault="007A43E5" w:rsidP="007A43E5">
      <w:pPr>
        <w:numPr>
          <w:ilvl w:val="0"/>
          <w:numId w:val="11"/>
        </w:numPr>
        <w:spacing w:before="120" w:line="232" w:lineRule="auto"/>
        <w:ind w:right="32"/>
        <w:rPr>
          <w:rFonts w:ascii="Arial" w:hAnsi="Arial" w:cs="Arial"/>
          <w:sz w:val="24"/>
          <w:szCs w:val="24"/>
        </w:rPr>
      </w:pPr>
      <w:r>
        <w:rPr>
          <w:rFonts w:ascii="Arial" w:hAnsi="Arial" w:cs="Arial"/>
          <w:sz w:val="24"/>
          <w:szCs w:val="24"/>
        </w:rPr>
        <w:t xml:space="preserve">Providing </w:t>
      </w:r>
      <w:r w:rsidR="00940416">
        <w:rPr>
          <w:rFonts w:ascii="Arial" w:hAnsi="Arial" w:cs="Arial"/>
          <w:sz w:val="24"/>
          <w:szCs w:val="24"/>
        </w:rPr>
        <w:t>greater opportunities for employment</w:t>
      </w:r>
      <w:r w:rsidRPr="007A43E5">
        <w:rPr>
          <w:rFonts w:ascii="Arial" w:hAnsi="Arial" w:cs="Arial"/>
          <w:sz w:val="24"/>
          <w:szCs w:val="24"/>
        </w:rPr>
        <w:t xml:space="preserve"> generating land uses on the site in a well-serviced location</w:t>
      </w:r>
      <w:r w:rsidR="00940416">
        <w:rPr>
          <w:rFonts w:ascii="Arial" w:hAnsi="Arial" w:cs="Arial"/>
          <w:sz w:val="24"/>
          <w:szCs w:val="24"/>
        </w:rPr>
        <w:t xml:space="preserve"> including </w:t>
      </w:r>
      <w:r w:rsidRPr="007A43E5">
        <w:rPr>
          <w:rFonts w:ascii="Arial" w:hAnsi="Arial" w:cs="Arial"/>
          <w:sz w:val="24"/>
          <w:szCs w:val="24"/>
        </w:rPr>
        <w:t xml:space="preserve">the ongoing use and </w:t>
      </w:r>
      <w:r w:rsidR="00940416">
        <w:rPr>
          <w:rFonts w:ascii="Arial" w:hAnsi="Arial" w:cs="Arial"/>
          <w:sz w:val="24"/>
          <w:szCs w:val="24"/>
        </w:rPr>
        <w:t xml:space="preserve">potential </w:t>
      </w:r>
      <w:r w:rsidRPr="007A43E5">
        <w:rPr>
          <w:rFonts w:ascii="Arial" w:hAnsi="Arial" w:cs="Arial"/>
          <w:sz w:val="24"/>
          <w:szCs w:val="24"/>
        </w:rPr>
        <w:t xml:space="preserve">expansion of the ETU offices and training facilities that service the wider community. </w:t>
      </w:r>
    </w:p>
    <w:p w14:paraId="35A10C9F" w14:textId="05EB2609" w:rsidR="00AF5FB2" w:rsidRDefault="007A43E5" w:rsidP="007A43E5">
      <w:pPr>
        <w:numPr>
          <w:ilvl w:val="0"/>
          <w:numId w:val="11"/>
        </w:numPr>
        <w:spacing w:before="120" w:line="232" w:lineRule="auto"/>
        <w:ind w:right="32"/>
        <w:rPr>
          <w:rFonts w:ascii="Arial" w:hAnsi="Arial" w:cs="Arial"/>
          <w:sz w:val="24"/>
          <w:szCs w:val="24"/>
        </w:rPr>
      </w:pPr>
      <w:r w:rsidRPr="007A43E5">
        <w:rPr>
          <w:rFonts w:ascii="Arial" w:hAnsi="Arial" w:cs="Arial"/>
          <w:sz w:val="24"/>
          <w:szCs w:val="24"/>
        </w:rPr>
        <w:t>I</w:t>
      </w:r>
      <w:r w:rsidR="00AF5FB2" w:rsidRPr="007A43E5">
        <w:rPr>
          <w:rFonts w:ascii="Arial" w:hAnsi="Arial" w:cs="Arial"/>
          <w:sz w:val="24"/>
          <w:szCs w:val="24"/>
        </w:rPr>
        <w:t>ntroducing built form controls that will ensure that future development on the site positively contributes to the surrounding</w:t>
      </w:r>
      <w:r w:rsidR="00AF5FB2">
        <w:rPr>
          <w:rFonts w:ascii="Arial" w:hAnsi="Arial" w:cs="Arial"/>
          <w:sz w:val="24"/>
          <w:szCs w:val="24"/>
        </w:rPr>
        <w:t xml:space="preserve"> context and is responsive to the heritage values of the existing Mills building. </w:t>
      </w:r>
    </w:p>
    <w:p w14:paraId="1AB1D611" w14:textId="4E3EE16E" w:rsidR="005F654C" w:rsidRPr="005F654C" w:rsidRDefault="005C1EE8" w:rsidP="00C36FA9">
      <w:pPr>
        <w:spacing w:before="182"/>
        <w:ind w:right="32"/>
        <w:rPr>
          <w:rFonts w:ascii="Arial"/>
          <w:b/>
          <w:sz w:val="28"/>
          <w:szCs w:val="28"/>
        </w:rPr>
      </w:pPr>
      <w:bookmarkStart w:id="10" w:name="Does_the_amendment_address_relevant_bush"/>
      <w:bookmarkEnd w:id="10"/>
      <w:r w:rsidRPr="005D44F0">
        <w:rPr>
          <w:rFonts w:ascii="Arial"/>
          <w:b/>
          <w:sz w:val="28"/>
          <w:szCs w:val="28"/>
        </w:rPr>
        <w:t>Does the amendment address relevant bushfire risk?</w:t>
      </w:r>
    </w:p>
    <w:p w14:paraId="16EEC5F6" w14:textId="3FBCA0E2" w:rsidR="005F654C" w:rsidRPr="005F654C" w:rsidRDefault="005F654C" w:rsidP="00C36FA9">
      <w:pPr>
        <w:spacing w:before="182"/>
        <w:ind w:right="32"/>
        <w:rPr>
          <w:rFonts w:ascii="Arial" w:eastAsia="Times New Roman" w:hAnsi="Arial" w:cs="Arial"/>
          <w:iCs/>
          <w:sz w:val="24"/>
          <w:szCs w:val="24"/>
          <w:lang w:bidi="ar-SA"/>
        </w:rPr>
      </w:pPr>
      <w:r w:rsidRPr="005F654C">
        <w:rPr>
          <w:rFonts w:ascii="Arial" w:eastAsia="Times New Roman" w:hAnsi="Arial" w:cs="Arial"/>
          <w:iCs/>
          <w:sz w:val="24"/>
          <w:szCs w:val="24"/>
          <w:lang w:bidi="ar-SA"/>
        </w:rPr>
        <w:t xml:space="preserve">The amendment affects land within inner metropolitan Melbourne which is not a bushfire prone area. </w:t>
      </w:r>
    </w:p>
    <w:p w14:paraId="6D71BFA8" w14:textId="2499F877" w:rsidR="005D44F0" w:rsidRPr="005D44F0" w:rsidRDefault="005C1EE8" w:rsidP="00C36FA9">
      <w:pPr>
        <w:spacing w:before="182"/>
        <w:ind w:right="32"/>
        <w:rPr>
          <w:rFonts w:ascii="Arial"/>
          <w:b/>
          <w:sz w:val="28"/>
          <w:szCs w:val="28"/>
        </w:rPr>
      </w:pPr>
      <w:bookmarkStart w:id="11" w:name="Does_the_amendment_comply_with_the_requi"/>
      <w:bookmarkEnd w:id="11"/>
      <w:r w:rsidRPr="005D44F0">
        <w:rPr>
          <w:rFonts w:ascii="Arial"/>
          <w:b/>
          <w:sz w:val="28"/>
          <w:szCs w:val="28"/>
        </w:rPr>
        <w:t>Does the amendment comply with the requirements of any Minister</w:t>
      </w:r>
      <w:r w:rsidRPr="005D44F0">
        <w:rPr>
          <w:rFonts w:ascii="Arial"/>
          <w:b/>
          <w:sz w:val="28"/>
          <w:szCs w:val="28"/>
        </w:rPr>
        <w:t>’</w:t>
      </w:r>
      <w:r w:rsidRPr="005D44F0">
        <w:rPr>
          <w:rFonts w:ascii="Arial"/>
          <w:b/>
          <w:sz w:val="28"/>
          <w:szCs w:val="28"/>
        </w:rPr>
        <w:t>s Direction applicable to the amendment?</w:t>
      </w:r>
    </w:p>
    <w:p w14:paraId="5E60530A" w14:textId="77777777" w:rsidR="005B5ED0" w:rsidRDefault="00F93FB5" w:rsidP="00C36FA9">
      <w:pPr>
        <w:spacing w:before="182" w:after="120"/>
        <w:ind w:right="34"/>
        <w:rPr>
          <w:rFonts w:ascii="Arial" w:eastAsia="Times New Roman" w:hAnsi="Arial" w:cs="Arial"/>
          <w:sz w:val="24"/>
          <w:szCs w:val="24"/>
          <w:lang w:val="en-GB" w:bidi="ar-SA"/>
        </w:rPr>
      </w:pPr>
      <w:r w:rsidRPr="005B5ED0">
        <w:rPr>
          <w:rFonts w:ascii="Arial"/>
          <w:sz w:val="24"/>
          <w:szCs w:val="24"/>
        </w:rPr>
        <w:t xml:space="preserve">The amendment </w:t>
      </w:r>
      <w:r w:rsidR="005B5ED0" w:rsidRPr="005B5ED0">
        <w:rPr>
          <w:rFonts w:ascii="Arial"/>
          <w:sz w:val="24"/>
          <w:szCs w:val="24"/>
        </w:rPr>
        <w:t>complies with</w:t>
      </w:r>
      <w:r w:rsidR="005F654C" w:rsidRPr="005B5ED0">
        <w:rPr>
          <w:rFonts w:ascii="Arial" w:eastAsia="Times New Roman" w:hAnsi="Arial" w:cs="Arial"/>
          <w:sz w:val="24"/>
          <w:szCs w:val="24"/>
          <w:lang w:val="en-GB" w:bidi="ar-SA"/>
        </w:rPr>
        <w:t xml:space="preserve"> </w:t>
      </w:r>
      <w:r w:rsidR="005B5ED0" w:rsidRPr="005B5ED0">
        <w:rPr>
          <w:rFonts w:ascii="Arial" w:eastAsia="Times New Roman" w:hAnsi="Arial" w:cs="Arial"/>
          <w:sz w:val="24"/>
          <w:szCs w:val="24"/>
          <w:lang w:val="en-GB" w:bidi="ar-SA"/>
        </w:rPr>
        <w:t xml:space="preserve">the requirements of the following Ministerial </w:t>
      </w:r>
      <w:r w:rsidR="005B5ED0" w:rsidRPr="00052E23">
        <w:rPr>
          <w:rFonts w:ascii="Arial"/>
          <w:sz w:val="24"/>
          <w:szCs w:val="24"/>
        </w:rPr>
        <w:t>Directions</w:t>
      </w:r>
      <w:r w:rsidR="005B5ED0" w:rsidRPr="005B5ED0">
        <w:rPr>
          <w:rFonts w:ascii="Arial" w:eastAsia="Times New Roman" w:hAnsi="Arial" w:cs="Arial"/>
          <w:sz w:val="24"/>
          <w:szCs w:val="24"/>
          <w:lang w:val="en-GB" w:bidi="ar-SA"/>
        </w:rPr>
        <w:t>:</w:t>
      </w:r>
    </w:p>
    <w:p w14:paraId="770BE0C6" w14:textId="2E3C587A" w:rsidR="005D44F0" w:rsidRPr="0052589B" w:rsidRDefault="0052589B" w:rsidP="00C36FA9">
      <w:pPr>
        <w:pStyle w:val="ListBullet"/>
        <w:numPr>
          <w:ilvl w:val="0"/>
          <w:numId w:val="0"/>
        </w:numPr>
        <w:ind w:left="340" w:hanging="340"/>
        <w:rPr>
          <w:i/>
          <w:color w:val="auto"/>
          <w:sz w:val="24"/>
          <w:szCs w:val="24"/>
          <w:u w:val="single"/>
          <w:lang w:val="en-GB"/>
        </w:rPr>
      </w:pPr>
      <w:r w:rsidRPr="0052589B">
        <w:rPr>
          <w:i/>
          <w:color w:val="auto"/>
          <w:sz w:val="24"/>
          <w:szCs w:val="24"/>
          <w:u w:val="single"/>
          <w:lang w:val="en-GB"/>
        </w:rPr>
        <w:t>Ministerial Direction on the Form and Content of Planning Schemes</w:t>
      </w:r>
    </w:p>
    <w:p w14:paraId="2266C750" w14:textId="77777777" w:rsidR="0080727D" w:rsidRPr="00E640F5" w:rsidRDefault="0080727D" w:rsidP="00C36FA9">
      <w:pPr>
        <w:pStyle w:val="ListBullet"/>
        <w:numPr>
          <w:ilvl w:val="0"/>
          <w:numId w:val="0"/>
        </w:numPr>
        <w:rPr>
          <w:rFonts w:hAnsi="Century Gothic" w:cs="Century Gothic"/>
          <w:color w:val="auto"/>
          <w:sz w:val="24"/>
          <w:szCs w:val="24"/>
          <w:lang w:eastAsia="en-AU" w:bidi="en-AU"/>
        </w:rPr>
      </w:pPr>
      <w:r w:rsidRPr="00E640F5">
        <w:rPr>
          <w:rFonts w:hAnsi="Century Gothic" w:cs="Century Gothic"/>
          <w:color w:val="auto"/>
          <w:sz w:val="24"/>
          <w:szCs w:val="24"/>
          <w:lang w:eastAsia="en-AU" w:bidi="en-AU"/>
        </w:rPr>
        <w:t xml:space="preserve">The amendment is consistent with the Ministerial Direction on the Form and Content of Planning Schemes under section 7(5) of the </w:t>
      </w:r>
      <w:r w:rsidRPr="00C3452B">
        <w:rPr>
          <w:rFonts w:hAnsi="Century Gothic" w:cs="Century Gothic"/>
          <w:i/>
          <w:iCs/>
          <w:color w:val="auto"/>
          <w:sz w:val="24"/>
          <w:szCs w:val="24"/>
          <w:lang w:eastAsia="en-AU" w:bidi="en-AU"/>
        </w:rPr>
        <w:t>Planning and Environment Act 1987</w:t>
      </w:r>
      <w:r w:rsidRPr="00E640F5">
        <w:rPr>
          <w:rFonts w:hAnsi="Century Gothic" w:cs="Century Gothic"/>
          <w:color w:val="auto"/>
          <w:sz w:val="24"/>
          <w:szCs w:val="24"/>
          <w:lang w:eastAsia="en-AU" w:bidi="en-AU"/>
        </w:rPr>
        <w:t>.</w:t>
      </w:r>
    </w:p>
    <w:p w14:paraId="4624991D" w14:textId="563F9AF3" w:rsidR="00E640F5" w:rsidRDefault="001C54E9" w:rsidP="00C36FA9">
      <w:pPr>
        <w:pStyle w:val="ListBullet"/>
        <w:numPr>
          <w:ilvl w:val="0"/>
          <w:numId w:val="0"/>
        </w:numPr>
        <w:rPr>
          <w:i/>
          <w:color w:val="auto"/>
          <w:sz w:val="24"/>
          <w:szCs w:val="24"/>
          <w:u w:val="single"/>
          <w:lang w:val="en-GB"/>
        </w:rPr>
      </w:pPr>
      <w:bookmarkStart w:id="12" w:name="_Toc122341157"/>
      <w:r w:rsidRPr="0080727D">
        <w:rPr>
          <w:i/>
          <w:color w:val="auto"/>
          <w:sz w:val="24"/>
          <w:szCs w:val="24"/>
          <w:u w:val="single"/>
          <w:lang w:val="en-GB"/>
        </w:rPr>
        <w:t>Ministerial Direction No. 9</w:t>
      </w:r>
      <w:bookmarkStart w:id="13" w:name="_Hlk121912304"/>
      <w:bookmarkEnd w:id="12"/>
      <w:r w:rsidR="0080727D" w:rsidRPr="00E640F5">
        <w:rPr>
          <w:i/>
          <w:color w:val="auto"/>
          <w:sz w:val="24"/>
          <w:szCs w:val="24"/>
          <w:u w:val="single"/>
          <w:lang w:val="en-GB"/>
        </w:rPr>
        <w:t xml:space="preserve"> Metropolitan Strategy</w:t>
      </w:r>
    </w:p>
    <w:p w14:paraId="3DB86B23" w14:textId="02750D4A" w:rsidR="006D48D8" w:rsidRPr="00E640F5" w:rsidRDefault="00C3452B" w:rsidP="00C36FA9">
      <w:pPr>
        <w:pStyle w:val="ListBullet"/>
        <w:numPr>
          <w:ilvl w:val="0"/>
          <w:numId w:val="0"/>
        </w:numPr>
        <w:rPr>
          <w:rFonts w:hAnsi="Century Gothic" w:cs="Century Gothic"/>
          <w:color w:val="auto"/>
          <w:sz w:val="24"/>
          <w:szCs w:val="24"/>
          <w:lang w:eastAsia="en-AU" w:bidi="en-AU"/>
        </w:rPr>
      </w:pPr>
      <w:r w:rsidRPr="00E640F5">
        <w:rPr>
          <w:rFonts w:hAnsi="Century Gothic" w:cs="Century Gothic"/>
          <w:color w:val="auto"/>
          <w:sz w:val="24"/>
          <w:szCs w:val="24"/>
          <w:lang w:eastAsia="en-AU" w:bidi="en-AU"/>
        </w:rPr>
        <w:t>Plan Melbourne 2017- 2050</w:t>
      </w:r>
      <w:r w:rsidR="00A95C3E">
        <w:rPr>
          <w:rFonts w:hAnsi="Century Gothic" w:cs="Century Gothic"/>
          <w:color w:val="auto"/>
          <w:sz w:val="24"/>
          <w:szCs w:val="24"/>
          <w:lang w:eastAsia="en-AU" w:bidi="en-AU"/>
        </w:rPr>
        <w:t xml:space="preserve"> </w:t>
      </w:r>
      <w:r w:rsidR="0080727D" w:rsidRPr="00E640F5">
        <w:rPr>
          <w:rFonts w:hAnsi="Century Gothic" w:cs="Century Gothic"/>
          <w:color w:val="auto"/>
          <w:sz w:val="24"/>
          <w:szCs w:val="24"/>
          <w:lang w:eastAsia="en-AU" w:bidi="en-AU"/>
        </w:rPr>
        <w:t xml:space="preserve">sets out a long-term framework for the future growth and development of Melbourne. The amendment complies with Ministerial Direction 9 as it facilitates the development of the site </w:t>
      </w:r>
      <w:r w:rsidR="00843CB4">
        <w:rPr>
          <w:rFonts w:hAnsi="Century Gothic" w:cs="Century Gothic"/>
          <w:color w:val="auto"/>
          <w:sz w:val="24"/>
          <w:szCs w:val="24"/>
          <w:lang w:eastAsia="en-AU" w:bidi="en-AU"/>
        </w:rPr>
        <w:t xml:space="preserve">generally </w:t>
      </w:r>
      <w:r w:rsidR="0080727D" w:rsidRPr="00E640F5">
        <w:rPr>
          <w:rFonts w:hAnsi="Century Gothic" w:cs="Century Gothic"/>
          <w:color w:val="auto"/>
          <w:sz w:val="24"/>
          <w:szCs w:val="24"/>
          <w:lang w:eastAsia="en-AU" w:bidi="en-AU"/>
        </w:rPr>
        <w:t>in accordance with the directions contained within Plan Melbourne 2017- 2050. The proposed massing, setbacks and detailed design</w:t>
      </w:r>
      <w:r w:rsidR="00843CB4">
        <w:rPr>
          <w:rFonts w:hAnsi="Century Gothic" w:cs="Century Gothic"/>
          <w:color w:val="auto"/>
          <w:sz w:val="24"/>
          <w:szCs w:val="24"/>
          <w:lang w:eastAsia="en-AU" w:bidi="en-AU"/>
        </w:rPr>
        <w:t xml:space="preserve"> </w:t>
      </w:r>
      <w:r w:rsidR="009F3737">
        <w:rPr>
          <w:rFonts w:hAnsi="Century Gothic" w:cs="Century Gothic"/>
          <w:color w:val="auto"/>
          <w:sz w:val="24"/>
          <w:szCs w:val="24"/>
          <w:lang w:eastAsia="en-AU" w:bidi="en-AU"/>
        </w:rPr>
        <w:t>outcomes sought by DDO84</w:t>
      </w:r>
      <w:r w:rsidR="005744ED">
        <w:rPr>
          <w:rFonts w:hAnsi="Century Gothic" w:cs="Century Gothic"/>
          <w:color w:val="auto"/>
          <w:sz w:val="24"/>
          <w:szCs w:val="24"/>
          <w:lang w:eastAsia="en-AU" w:bidi="en-AU"/>
        </w:rPr>
        <w:t xml:space="preserve"> will ensure any future development</w:t>
      </w:r>
      <w:r w:rsidR="0080727D" w:rsidRPr="00E640F5">
        <w:rPr>
          <w:rFonts w:hAnsi="Century Gothic" w:cs="Century Gothic"/>
          <w:color w:val="auto"/>
          <w:sz w:val="24"/>
          <w:szCs w:val="24"/>
          <w:lang w:eastAsia="en-AU" w:bidi="en-AU"/>
        </w:rPr>
        <w:t xml:space="preserve"> is sensitive to on-site and surrounding heritage fabric and </w:t>
      </w:r>
      <w:r w:rsidR="00E640F5" w:rsidRPr="00E640F5">
        <w:rPr>
          <w:rFonts w:hAnsi="Century Gothic" w:cs="Century Gothic"/>
          <w:color w:val="auto"/>
          <w:sz w:val="24"/>
          <w:szCs w:val="24"/>
          <w:lang w:eastAsia="en-AU" w:bidi="en-AU"/>
        </w:rPr>
        <w:t>the low rise adjoining built form</w:t>
      </w:r>
      <w:r w:rsidR="0080727D" w:rsidRPr="00E640F5">
        <w:rPr>
          <w:rFonts w:hAnsi="Century Gothic" w:cs="Century Gothic"/>
          <w:color w:val="auto"/>
          <w:sz w:val="24"/>
          <w:szCs w:val="24"/>
          <w:lang w:eastAsia="en-AU" w:bidi="en-AU"/>
        </w:rPr>
        <w:t>.</w:t>
      </w:r>
    </w:p>
    <w:bookmarkEnd w:id="13"/>
    <w:p w14:paraId="1695675F" w14:textId="77777777" w:rsidR="0080727D" w:rsidRPr="00E640F5" w:rsidRDefault="0080727D" w:rsidP="00C36FA9">
      <w:pPr>
        <w:pStyle w:val="ListBullet"/>
        <w:numPr>
          <w:ilvl w:val="0"/>
          <w:numId w:val="0"/>
        </w:numPr>
        <w:ind w:left="340" w:hanging="340"/>
        <w:rPr>
          <w:i/>
          <w:color w:val="auto"/>
          <w:sz w:val="24"/>
          <w:szCs w:val="24"/>
          <w:u w:val="single"/>
          <w:lang w:val="en-GB"/>
        </w:rPr>
      </w:pPr>
      <w:r w:rsidRPr="00E640F5">
        <w:rPr>
          <w:i/>
          <w:color w:val="auto"/>
          <w:sz w:val="24"/>
          <w:szCs w:val="24"/>
          <w:u w:val="single"/>
          <w:lang w:val="en-GB"/>
        </w:rPr>
        <w:t xml:space="preserve">Ministerial Direction No. 11 Strategic Assessment of Amendments </w:t>
      </w:r>
    </w:p>
    <w:p w14:paraId="49AB887A" w14:textId="60EE406A" w:rsidR="00E640F5" w:rsidRPr="00E640F5" w:rsidRDefault="0080727D" w:rsidP="00C36FA9">
      <w:pPr>
        <w:pStyle w:val="ListBullet"/>
        <w:numPr>
          <w:ilvl w:val="0"/>
          <w:numId w:val="0"/>
        </w:numPr>
        <w:rPr>
          <w:rFonts w:hAnsi="Century Gothic" w:cs="Century Gothic"/>
          <w:color w:val="auto"/>
          <w:sz w:val="24"/>
          <w:szCs w:val="24"/>
          <w:lang w:eastAsia="en-AU" w:bidi="en-AU"/>
        </w:rPr>
      </w:pPr>
      <w:r w:rsidRPr="00E640F5">
        <w:rPr>
          <w:rFonts w:hAnsi="Century Gothic" w:cs="Century Gothic"/>
          <w:color w:val="auto"/>
          <w:sz w:val="24"/>
          <w:szCs w:val="24"/>
          <w:lang w:eastAsia="en-AU" w:bidi="en-AU"/>
        </w:rPr>
        <w:t>The amendment has been prepared in accordance with Ministerial Direction No. 11 Strategic Assessment of Amendments</w:t>
      </w:r>
      <w:r w:rsidR="005744ED">
        <w:rPr>
          <w:rFonts w:hAnsi="Century Gothic" w:cs="Century Gothic"/>
          <w:color w:val="auto"/>
          <w:sz w:val="24"/>
          <w:szCs w:val="24"/>
          <w:lang w:eastAsia="en-AU" w:bidi="en-AU"/>
        </w:rPr>
        <w:t xml:space="preserve"> as outlined in this Explanatory Report</w:t>
      </w:r>
      <w:r w:rsidRPr="00E640F5">
        <w:rPr>
          <w:rFonts w:hAnsi="Century Gothic" w:cs="Century Gothic"/>
          <w:color w:val="auto"/>
          <w:sz w:val="24"/>
          <w:szCs w:val="24"/>
          <w:lang w:eastAsia="en-AU" w:bidi="en-AU"/>
        </w:rPr>
        <w:t>.</w:t>
      </w:r>
    </w:p>
    <w:p w14:paraId="4121F435" w14:textId="77777777" w:rsidR="005B5AD6" w:rsidRDefault="005B5AD6" w:rsidP="00C36FA9">
      <w:pPr>
        <w:spacing w:before="161" w:line="232" w:lineRule="auto"/>
        <w:ind w:right="32"/>
        <w:rPr>
          <w:rFonts w:ascii="Arial"/>
          <w:b/>
          <w:sz w:val="28"/>
          <w:szCs w:val="28"/>
        </w:rPr>
      </w:pPr>
    </w:p>
    <w:p w14:paraId="466A95F6" w14:textId="77777777" w:rsidR="005B5AD6" w:rsidRDefault="005B5AD6" w:rsidP="00C36FA9">
      <w:pPr>
        <w:spacing w:before="161" w:line="232" w:lineRule="auto"/>
        <w:ind w:right="32"/>
        <w:rPr>
          <w:rFonts w:ascii="Arial"/>
          <w:b/>
          <w:sz w:val="28"/>
          <w:szCs w:val="28"/>
        </w:rPr>
      </w:pPr>
    </w:p>
    <w:p w14:paraId="4A88B56C" w14:textId="4EA260DB" w:rsidR="005C1EE8" w:rsidRPr="005D44F0" w:rsidRDefault="005C1EE8" w:rsidP="00C36FA9">
      <w:pPr>
        <w:spacing w:before="161" w:line="232" w:lineRule="auto"/>
        <w:ind w:right="32"/>
        <w:rPr>
          <w:rFonts w:ascii="Arial"/>
          <w:b/>
          <w:sz w:val="28"/>
          <w:szCs w:val="28"/>
        </w:rPr>
      </w:pPr>
      <w:r w:rsidRPr="005D44F0">
        <w:rPr>
          <w:rFonts w:ascii="Arial"/>
          <w:b/>
          <w:sz w:val="28"/>
          <w:szCs w:val="28"/>
        </w:rPr>
        <w:lastRenderedPageBreak/>
        <w:t>How does the amendment support or implement the Planning Policy Framework and any adopted State policy?</w:t>
      </w:r>
    </w:p>
    <w:p w14:paraId="0BFFF96A" w14:textId="1302AC58" w:rsidR="00901372" w:rsidRPr="005D44F0" w:rsidRDefault="00461247" w:rsidP="00C36FA9">
      <w:pPr>
        <w:pStyle w:val="NormalWeb"/>
        <w:rPr>
          <w:lang w:val="en-GB"/>
        </w:rPr>
      </w:pPr>
      <w:bookmarkStart w:id="14" w:name="_Hlk122359432"/>
      <w:r w:rsidRPr="005D44F0">
        <w:rPr>
          <w:rFonts w:ascii="Arial" w:eastAsia="Century Gothic" w:hAnsi="Arial"/>
          <w:lang w:val="en-GB" w:eastAsia="en-US"/>
        </w:rPr>
        <w:t xml:space="preserve">The amendment </w:t>
      </w:r>
      <w:bookmarkEnd w:id="14"/>
      <w:r w:rsidRPr="005D44F0">
        <w:rPr>
          <w:rFonts w:ascii="Arial" w:eastAsia="Century Gothic" w:hAnsi="Arial"/>
          <w:lang w:val="en-GB" w:eastAsia="en-US"/>
        </w:rPr>
        <w:t xml:space="preserve">is consistent with the </w:t>
      </w:r>
      <w:r w:rsidR="00BC595E" w:rsidRPr="005D44F0">
        <w:rPr>
          <w:rFonts w:ascii="Arial" w:eastAsia="Century Gothic" w:hAnsi="Arial"/>
          <w:lang w:val="en-GB" w:eastAsia="en-US"/>
        </w:rPr>
        <w:t xml:space="preserve">specific objectives of the PPF at Clause 11.03-6L-10 </w:t>
      </w:r>
      <w:r w:rsidR="00E178F9">
        <w:rPr>
          <w:rFonts w:ascii="Arial" w:eastAsia="Century Gothic" w:hAnsi="Arial"/>
          <w:lang w:val="en-GB" w:eastAsia="en-US"/>
        </w:rPr>
        <w:t>(</w:t>
      </w:r>
      <w:r w:rsidR="00BC595E" w:rsidRPr="005D44F0">
        <w:rPr>
          <w:rFonts w:ascii="Arial" w:eastAsia="Century Gothic" w:hAnsi="Arial"/>
          <w:lang w:val="en-GB" w:eastAsia="en-US"/>
        </w:rPr>
        <w:t>North Melbourne</w:t>
      </w:r>
      <w:r w:rsidR="00E178F9">
        <w:rPr>
          <w:rFonts w:ascii="Arial" w:eastAsia="Century Gothic" w:hAnsi="Arial"/>
          <w:lang w:val="en-GB" w:eastAsia="en-US"/>
        </w:rPr>
        <w:t>)</w:t>
      </w:r>
      <w:r w:rsidR="00BC595E" w:rsidRPr="005D44F0">
        <w:rPr>
          <w:rFonts w:ascii="Arial" w:eastAsia="Century Gothic" w:hAnsi="Arial"/>
          <w:lang w:val="en-GB" w:eastAsia="en-US"/>
        </w:rPr>
        <w:t xml:space="preserve"> to </w:t>
      </w:r>
      <w:r w:rsidR="00A06DD7" w:rsidRPr="005D44F0">
        <w:rPr>
          <w:rFonts w:ascii="Arial" w:eastAsia="Century Gothic" w:hAnsi="Arial"/>
          <w:lang w:val="en-GB" w:eastAsia="en-US"/>
        </w:rPr>
        <w:t>s</w:t>
      </w:r>
      <w:r w:rsidR="00BC595E" w:rsidRPr="005D44F0">
        <w:rPr>
          <w:rFonts w:ascii="Arial" w:eastAsia="Century Gothic" w:hAnsi="Arial"/>
          <w:lang w:val="en-GB" w:eastAsia="en-US"/>
        </w:rPr>
        <w:t xml:space="preserve">upport small to medium enterprises and businesses that provide professional and business support services in the </w:t>
      </w:r>
      <w:proofErr w:type="gramStart"/>
      <w:r w:rsidR="00BC595E" w:rsidRPr="005D44F0">
        <w:rPr>
          <w:rFonts w:ascii="Arial" w:eastAsia="Century Gothic" w:hAnsi="Arial"/>
          <w:lang w:val="en-GB" w:eastAsia="en-US"/>
        </w:rPr>
        <w:t>Mixed Use</w:t>
      </w:r>
      <w:proofErr w:type="gramEnd"/>
      <w:r w:rsidR="00BC595E" w:rsidRPr="005D44F0">
        <w:rPr>
          <w:rFonts w:ascii="Arial" w:eastAsia="Century Gothic" w:hAnsi="Arial"/>
          <w:lang w:val="en-GB" w:eastAsia="en-US"/>
        </w:rPr>
        <w:t xml:space="preserve"> Zone</w:t>
      </w:r>
      <w:r w:rsidR="00A06DD7" w:rsidRPr="005D44F0">
        <w:rPr>
          <w:rFonts w:ascii="Arial" w:eastAsia="Century Gothic" w:hAnsi="Arial"/>
          <w:lang w:val="en-GB" w:eastAsia="en-US"/>
        </w:rPr>
        <w:t xml:space="preserve"> and to </w:t>
      </w:r>
      <w:r w:rsidR="00BC595E" w:rsidRPr="005D44F0">
        <w:rPr>
          <w:rFonts w:ascii="Arial" w:eastAsia="Century Gothic" w:hAnsi="Arial"/>
          <w:lang w:val="en-GB" w:eastAsia="en-US"/>
        </w:rPr>
        <w:t>ensure that development is sympathetic to the architecture, scale and heritage character in the precinct</w:t>
      </w:r>
      <w:r w:rsidR="00A06DD7" w:rsidRPr="005D44F0">
        <w:rPr>
          <w:rFonts w:ascii="Arial" w:eastAsia="Century Gothic" w:hAnsi="Arial"/>
          <w:lang w:val="en-GB" w:eastAsia="en-US"/>
        </w:rPr>
        <w:t>.</w:t>
      </w:r>
    </w:p>
    <w:p w14:paraId="272D4143" w14:textId="685D8DC3" w:rsidR="00FD1503" w:rsidRPr="005D44F0" w:rsidRDefault="00FD1503" w:rsidP="00C36FA9">
      <w:pPr>
        <w:pStyle w:val="ListBullet"/>
        <w:numPr>
          <w:ilvl w:val="0"/>
          <w:numId w:val="0"/>
        </w:numPr>
        <w:rPr>
          <w:color w:val="auto"/>
          <w:sz w:val="24"/>
          <w:szCs w:val="24"/>
          <w:lang w:val="en-GB"/>
        </w:rPr>
      </w:pPr>
      <w:r w:rsidRPr="005D44F0">
        <w:rPr>
          <w:sz w:val="24"/>
          <w:szCs w:val="24"/>
        </w:rPr>
        <w:t xml:space="preserve">The amendment </w:t>
      </w:r>
      <w:r w:rsidR="00BC595E" w:rsidRPr="005D44F0">
        <w:rPr>
          <w:sz w:val="24"/>
          <w:szCs w:val="24"/>
        </w:rPr>
        <w:t xml:space="preserve">also </w:t>
      </w:r>
      <w:r w:rsidRPr="005D44F0">
        <w:rPr>
          <w:sz w:val="24"/>
          <w:szCs w:val="24"/>
        </w:rPr>
        <w:t xml:space="preserve">supports the following objectives of Clause 11 (Settlement), Clause 15 (Built Environment and Heritage), Clause 17 (Economic Development) and Clause 18 (Transport) in the Planning Policy Framework: </w:t>
      </w:r>
    </w:p>
    <w:p w14:paraId="0E2D70A0" w14:textId="77777777" w:rsidR="00FD1503" w:rsidRPr="005D44F0" w:rsidRDefault="00FD1503" w:rsidP="00C36FA9">
      <w:pPr>
        <w:pStyle w:val="ListBullet"/>
        <w:rPr>
          <w:sz w:val="24"/>
          <w:szCs w:val="24"/>
        </w:rPr>
      </w:pPr>
      <w:r w:rsidRPr="005D44F0">
        <w:rPr>
          <w:sz w:val="24"/>
          <w:szCs w:val="24"/>
        </w:rPr>
        <w:t>Clause 11.01-1S (Settlement) seeks to promote the sustainable growth and development of Victoria and deliver choice and opportunity for all Victorians through a network of settlements by enabling appropriate growth at the site, in line with the aspirations for the wider Arden Precinct.</w:t>
      </w:r>
    </w:p>
    <w:p w14:paraId="00464FF8" w14:textId="77777777" w:rsidR="00FD1503" w:rsidRPr="005D44F0" w:rsidRDefault="00FD1503" w:rsidP="00C36FA9">
      <w:pPr>
        <w:pStyle w:val="ListBullet"/>
        <w:rPr>
          <w:sz w:val="24"/>
          <w:szCs w:val="24"/>
        </w:rPr>
      </w:pPr>
      <w:r w:rsidRPr="005D44F0">
        <w:rPr>
          <w:sz w:val="24"/>
          <w:szCs w:val="24"/>
        </w:rPr>
        <w:t xml:space="preserve">Clause 11.02-1S (Supply of urban land) ensures a sufficient supply of land is available for residential, commercial, retail, industrial, recreational, institutional and other community uses. This amendment will ensure that the site can continue to be operated and used by the ETU and will give certainty for future development outcomes which will bring significant community benefit. </w:t>
      </w:r>
    </w:p>
    <w:p w14:paraId="24768628" w14:textId="77777777" w:rsidR="00FD1503" w:rsidRPr="005D44F0" w:rsidRDefault="00FD1503" w:rsidP="00C36FA9">
      <w:pPr>
        <w:pStyle w:val="ListBullet"/>
        <w:rPr>
          <w:sz w:val="24"/>
          <w:szCs w:val="24"/>
        </w:rPr>
      </w:pPr>
      <w:r w:rsidRPr="005D44F0">
        <w:rPr>
          <w:sz w:val="24"/>
          <w:szCs w:val="24"/>
        </w:rPr>
        <w:t xml:space="preserve">Clause 15.01-1S (Urban design) aims to create urban environments that are safe, healthy, functional and enjoyable and that contribute to a sense of place and cultural identity, by ensuring built form outcomes appropriately respond to the urban design context, and key features of the wider site area. </w:t>
      </w:r>
    </w:p>
    <w:p w14:paraId="720574B0" w14:textId="77777777" w:rsidR="00FD1503" w:rsidRPr="005D44F0" w:rsidRDefault="00FD1503" w:rsidP="00C36FA9">
      <w:pPr>
        <w:pStyle w:val="ListBullet"/>
        <w:rPr>
          <w:sz w:val="24"/>
          <w:szCs w:val="24"/>
        </w:rPr>
      </w:pPr>
      <w:r w:rsidRPr="005D44F0">
        <w:rPr>
          <w:sz w:val="24"/>
          <w:szCs w:val="24"/>
        </w:rPr>
        <w:t xml:space="preserve">Clause 15.01-2S (Building design) recognises the need to achieve building design outcomes that contribute positively to the local context and enhance the public realm. This amendment ensures that future building design and outcomes are appropriate and will positively contribute, through the controls incorporated within the DDO. </w:t>
      </w:r>
    </w:p>
    <w:p w14:paraId="565A6917" w14:textId="1E1296E4" w:rsidR="00FD1503" w:rsidRPr="005D44F0" w:rsidRDefault="00FD1503" w:rsidP="00C36FA9">
      <w:pPr>
        <w:pStyle w:val="ListBullet"/>
        <w:rPr>
          <w:sz w:val="24"/>
          <w:szCs w:val="24"/>
        </w:rPr>
      </w:pPr>
      <w:r w:rsidRPr="005D44F0">
        <w:rPr>
          <w:sz w:val="24"/>
          <w:szCs w:val="24"/>
        </w:rPr>
        <w:t xml:space="preserve">Clause 15.01-2S (Heritage) seeks to ensure the conservation of places of heritage significance. The policy acknowledges the need to encourage appropriate development that respects places identified as having heritage value. </w:t>
      </w:r>
    </w:p>
    <w:p w14:paraId="657E7996" w14:textId="77777777" w:rsidR="00FD1503" w:rsidRPr="005D44F0" w:rsidRDefault="00FD1503" w:rsidP="00C36FA9">
      <w:pPr>
        <w:pStyle w:val="ListBullet"/>
        <w:rPr>
          <w:sz w:val="24"/>
          <w:szCs w:val="24"/>
        </w:rPr>
      </w:pPr>
      <w:r w:rsidRPr="005D44F0">
        <w:rPr>
          <w:sz w:val="24"/>
          <w:szCs w:val="24"/>
        </w:rPr>
        <w:t xml:space="preserve">Clause 17.01-1S (Diversified economy) aims to strengthen and diversify the economy. The amendment will enable ETU to continue to provide its services, which include activities relating to employment and job support. This amendment will allow ETU to expand their support offer, which in turn will bring significant benefits to the local and wider economy. </w:t>
      </w:r>
    </w:p>
    <w:p w14:paraId="400B4E5A" w14:textId="77777777" w:rsidR="00FD1503" w:rsidRPr="005D44F0" w:rsidRDefault="00FD1503" w:rsidP="00C36FA9">
      <w:pPr>
        <w:pStyle w:val="ListBullet"/>
        <w:rPr>
          <w:sz w:val="24"/>
          <w:szCs w:val="24"/>
        </w:rPr>
      </w:pPr>
      <w:r w:rsidRPr="005D44F0">
        <w:rPr>
          <w:sz w:val="24"/>
          <w:szCs w:val="24"/>
        </w:rPr>
        <w:t xml:space="preserve">Clause 17.02-1S (Business) – to encourage development that meets the community’s needs for retail, entertainment, office and other commercial services. </w:t>
      </w:r>
    </w:p>
    <w:p w14:paraId="1BDDCDCF" w14:textId="1E9732FA" w:rsidR="00FD1503" w:rsidRPr="005D44F0" w:rsidRDefault="00FD1503" w:rsidP="00C36FA9">
      <w:pPr>
        <w:pStyle w:val="ListBullet"/>
        <w:rPr>
          <w:sz w:val="24"/>
          <w:szCs w:val="24"/>
        </w:rPr>
      </w:pPr>
      <w:r w:rsidRPr="005D44F0">
        <w:rPr>
          <w:sz w:val="24"/>
          <w:szCs w:val="24"/>
        </w:rPr>
        <w:t xml:space="preserve">Clause 18.02-2S (Public transport) – to facilitate greater use of public transport and promote increased development close to high-quality public transport routes. The amendment will encourage the use of public transport given its proximity to existing and emerging strategic transport linkages. </w:t>
      </w:r>
    </w:p>
    <w:p w14:paraId="0448A08C" w14:textId="77777777" w:rsidR="005B5AD6" w:rsidRDefault="005B5AD6" w:rsidP="00C36FA9">
      <w:pPr>
        <w:spacing w:before="185"/>
        <w:ind w:right="32"/>
        <w:rPr>
          <w:rFonts w:ascii="Arial"/>
          <w:b/>
          <w:sz w:val="28"/>
          <w:szCs w:val="28"/>
        </w:rPr>
      </w:pPr>
    </w:p>
    <w:p w14:paraId="2477BF2A" w14:textId="0207E77F" w:rsidR="005C1EE8" w:rsidRPr="005D44F0" w:rsidRDefault="005C1EE8" w:rsidP="00C36FA9">
      <w:pPr>
        <w:spacing w:before="185"/>
        <w:ind w:right="32"/>
        <w:rPr>
          <w:rFonts w:ascii="Arial"/>
          <w:b/>
          <w:sz w:val="28"/>
          <w:szCs w:val="28"/>
        </w:rPr>
      </w:pPr>
      <w:r w:rsidRPr="005D44F0">
        <w:rPr>
          <w:rFonts w:ascii="Arial"/>
          <w:b/>
          <w:sz w:val="28"/>
          <w:szCs w:val="28"/>
        </w:rPr>
        <w:lastRenderedPageBreak/>
        <w:t>How does the amendment support or implement the Municipal Planning Strategy?</w:t>
      </w:r>
    </w:p>
    <w:p w14:paraId="73D75D42" w14:textId="27684034" w:rsidR="00AB1AA0" w:rsidRDefault="00AB1AA0" w:rsidP="00C36FA9">
      <w:pPr>
        <w:adjustRightInd w:val="0"/>
        <w:rPr>
          <w:rFonts w:ascii="Arial" w:hAnsi="Arial" w:cs="Arial"/>
          <w:b/>
          <w:bCs/>
          <w:sz w:val="24"/>
          <w:szCs w:val="24"/>
        </w:rPr>
      </w:pPr>
    </w:p>
    <w:p w14:paraId="06989A68" w14:textId="77999A9B" w:rsidR="00AB1AA0" w:rsidRPr="00AB1AA0" w:rsidRDefault="00AB1AA0" w:rsidP="00C36FA9">
      <w:pPr>
        <w:adjustRightInd w:val="0"/>
        <w:rPr>
          <w:rFonts w:ascii="Arial" w:hAnsi="Arial" w:cs="Times New Roman"/>
          <w:color w:val="000000"/>
          <w:sz w:val="24"/>
          <w:szCs w:val="24"/>
          <w:lang w:eastAsia="en-US" w:bidi="ar-SA"/>
        </w:rPr>
      </w:pPr>
      <w:r w:rsidRPr="00AB1AA0">
        <w:rPr>
          <w:rFonts w:ascii="Arial" w:hAnsi="Arial" w:cs="Times New Roman"/>
          <w:color w:val="000000"/>
          <w:sz w:val="24"/>
          <w:szCs w:val="24"/>
          <w:lang w:eastAsia="en-US" w:bidi="ar-SA"/>
        </w:rPr>
        <w:t xml:space="preserve">The amendment does not seek to change the strategic directions in the MPS, </w:t>
      </w:r>
      <w:proofErr w:type="gramStart"/>
      <w:r w:rsidRPr="00AB1AA0">
        <w:rPr>
          <w:rFonts w:ascii="Arial" w:hAnsi="Arial" w:cs="Times New Roman"/>
          <w:color w:val="000000"/>
          <w:sz w:val="24"/>
          <w:szCs w:val="24"/>
          <w:lang w:eastAsia="en-US" w:bidi="ar-SA"/>
        </w:rPr>
        <w:t>It</w:t>
      </w:r>
      <w:proofErr w:type="gramEnd"/>
      <w:r w:rsidRPr="00AB1AA0">
        <w:rPr>
          <w:rFonts w:ascii="Arial" w:hAnsi="Arial" w:cs="Times New Roman"/>
          <w:color w:val="000000"/>
          <w:sz w:val="24"/>
          <w:szCs w:val="24"/>
          <w:lang w:eastAsia="en-US" w:bidi="ar-SA"/>
        </w:rPr>
        <w:t xml:space="preserve"> supports the existing MPS</w:t>
      </w:r>
      <w:r w:rsidR="00A44562">
        <w:rPr>
          <w:rFonts w:ascii="Arial" w:hAnsi="Arial" w:cs="Times New Roman"/>
          <w:color w:val="000000"/>
          <w:sz w:val="24"/>
          <w:szCs w:val="24"/>
          <w:lang w:eastAsia="en-US" w:bidi="ar-SA"/>
        </w:rPr>
        <w:t xml:space="preserve"> directions</w:t>
      </w:r>
      <w:r w:rsidRPr="00AB1AA0">
        <w:rPr>
          <w:rFonts w:ascii="Arial" w:hAnsi="Arial" w:cs="Times New Roman"/>
          <w:color w:val="000000"/>
          <w:sz w:val="24"/>
          <w:szCs w:val="24"/>
          <w:lang w:eastAsia="en-US" w:bidi="ar-SA"/>
        </w:rPr>
        <w:t xml:space="preserve"> as follows:</w:t>
      </w:r>
    </w:p>
    <w:p w14:paraId="4E132B9A" w14:textId="77777777" w:rsidR="00AB1AA0" w:rsidRDefault="00AB1AA0" w:rsidP="00C36FA9">
      <w:pPr>
        <w:adjustRightInd w:val="0"/>
        <w:rPr>
          <w:rFonts w:ascii="Arial" w:hAnsi="Arial" w:cs="Arial"/>
          <w:b/>
          <w:bCs/>
          <w:sz w:val="24"/>
          <w:szCs w:val="24"/>
        </w:rPr>
      </w:pPr>
    </w:p>
    <w:p w14:paraId="04805628" w14:textId="0A374D2E" w:rsidR="005C7B79" w:rsidRPr="005D44F0" w:rsidRDefault="005C7B79" w:rsidP="00C36FA9">
      <w:pPr>
        <w:adjustRightInd w:val="0"/>
        <w:rPr>
          <w:rFonts w:ascii="Arial" w:hAnsi="Arial" w:cs="Arial"/>
          <w:sz w:val="24"/>
          <w:szCs w:val="24"/>
        </w:rPr>
      </w:pPr>
      <w:r w:rsidRPr="005D44F0">
        <w:rPr>
          <w:rFonts w:ascii="Arial" w:hAnsi="Arial" w:cs="Arial"/>
          <w:b/>
          <w:bCs/>
          <w:sz w:val="24"/>
          <w:szCs w:val="24"/>
        </w:rPr>
        <w:t xml:space="preserve">Clause 02.02 Vision </w:t>
      </w:r>
      <w:r w:rsidRPr="005D44F0">
        <w:rPr>
          <w:rFonts w:ascii="Arial" w:hAnsi="Arial" w:cs="Arial"/>
          <w:sz w:val="24"/>
          <w:szCs w:val="24"/>
        </w:rPr>
        <w:t>sets out</w:t>
      </w:r>
      <w:r w:rsidRPr="005D44F0">
        <w:rPr>
          <w:rFonts w:ascii="Arial" w:hAnsi="Arial" w:cs="Arial"/>
          <w:b/>
          <w:bCs/>
          <w:sz w:val="24"/>
          <w:szCs w:val="24"/>
        </w:rPr>
        <w:t xml:space="preserve"> </w:t>
      </w:r>
      <w:r w:rsidRPr="005D44F0">
        <w:rPr>
          <w:rFonts w:ascii="Arial" w:hAnsi="Arial" w:cs="Arial"/>
          <w:sz w:val="24"/>
          <w:szCs w:val="24"/>
        </w:rPr>
        <w:t xml:space="preserve">six strategic goals for the City of Melbourne, which are to be: </w:t>
      </w:r>
      <w:r w:rsidRPr="005D44F0">
        <w:rPr>
          <w:rFonts w:ascii="Arial" w:hAnsi="Arial" w:cs="Arial"/>
          <w:i/>
          <w:iCs/>
          <w:sz w:val="24"/>
          <w:szCs w:val="24"/>
        </w:rPr>
        <w:t>a city for people, a creative city and a prosperous city, a city of knowledge, an eco-city and a connected city</w:t>
      </w:r>
      <w:r w:rsidRPr="005D44F0">
        <w:rPr>
          <w:rFonts w:ascii="Arial" w:hAnsi="Arial" w:cs="Arial"/>
          <w:sz w:val="24"/>
          <w:szCs w:val="24"/>
        </w:rPr>
        <w:t>.</w:t>
      </w:r>
    </w:p>
    <w:p w14:paraId="4A75E2AB" w14:textId="77777777" w:rsidR="005C7B79" w:rsidRPr="005D44F0" w:rsidRDefault="005C7B79" w:rsidP="00C36FA9">
      <w:pPr>
        <w:adjustRightInd w:val="0"/>
        <w:rPr>
          <w:rFonts w:ascii="Arial" w:hAnsi="Arial" w:cs="Arial"/>
          <w:sz w:val="24"/>
          <w:szCs w:val="24"/>
        </w:rPr>
      </w:pPr>
    </w:p>
    <w:p w14:paraId="2785A56C" w14:textId="77777777" w:rsidR="005C7B79" w:rsidRPr="005D44F0" w:rsidRDefault="005C7B79" w:rsidP="00C36FA9">
      <w:pPr>
        <w:adjustRightInd w:val="0"/>
        <w:rPr>
          <w:rFonts w:ascii="Arial" w:hAnsi="Arial" w:cs="Arial"/>
          <w:sz w:val="24"/>
          <w:szCs w:val="24"/>
        </w:rPr>
      </w:pPr>
      <w:r w:rsidRPr="005D44F0">
        <w:rPr>
          <w:rFonts w:ascii="Arial" w:hAnsi="Arial" w:cs="Arial"/>
          <w:sz w:val="24"/>
          <w:szCs w:val="24"/>
        </w:rPr>
        <w:t xml:space="preserve">Through the rezoning of the land to the </w:t>
      </w:r>
      <w:proofErr w:type="gramStart"/>
      <w:r w:rsidRPr="005D44F0">
        <w:rPr>
          <w:rFonts w:ascii="Arial" w:hAnsi="Arial" w:cs="Arial"/>
          <w:sz w:val="24"/>
          <w:szCs w:val="24"/>
        </w:rPr>
        <w:t>Mixed Use</w:t>
      </w:r>
      <w:proofErr w:type="gramEnd"/>
      <w:r w:rsidRPr="005D44F0">
        <w:rPr>
          <w:rFonts w:ascii="Arial" w:hAnsi="Arial" w:cs="Arial"/>
          <w:sz w:val="24"/>
          <w:szCs w:val="24"/>
        </w:rPr>
        <w:t xml:space="preserve"> Zone Schedule (MUZ) and the inclusion of Design and Development Overlay Schedule 84 (DDO84), the amendment supports the Strategic Directions in the following ways:</w:t>
      </w:r>
    </w:p>
    <w:p w14:paraId="4D27D7E8" w14:textId="77777777" w:rsidR="005C7B79" w:rsidRPr="005D44F0" w:rsidRDefault="005C7B79" w:rsidP="00C36FA9">
      <w:pPr>
        <w:adjustRightInd w:val="0"/>
        <w:rPr>
          <w:rFonts w:ascii="Arial" w:hAnsi="Arial" w:cs="Arial"/>
          <w:sz w:val="24"/>
          <w:szCs w:val="24"/>
        </w:rPr>
      </w:pPr>
    </w:p>
    <w:p w14:paraId="0C92B78D" w14:textId="43ED5FA2" w:rsidR="005C7B79" w:rsidRPr="005D44F0" w:rsidRDefault="005C7B79" w:rsidP="00C36FA9">
      <w:pPr>
        <w:adjustRightInd w:val="0"/>
        <w:rPr>
          <w:rFonts w:ascii="Arial" w:hAnsi="Arial" w:cs="Arial"/>
          <w:sz w:val="24"/>
          <w:szCs w:val="24"/>
        </w:rPr>
      </w:pPr>
      <w:r w:rsidRPr="005D44F0">
        <w:rPr>
          <w:rFonts w:ascii="Arial" w:hAnsi="Arial" w:cs="Arial"/>
          <w:b/>
          <w:bCs/>
          <w:sz w:val="24"/>
          <w:szCs w:val="24"/>
        </w:rPr>
        <w:t xml:space="preserve">Clause 02.03-3 </w:t>
      </w:r>
      <w:r w:rsidR="00F23C7B">
        <w:rPr>
          <w:rFonts w:ascii="Arial" w:hAnsi="Arial" w:cs="Arial"/>
          <w:b/>
          <w:bCs/>
          <w:sz w:val="24"/>
          <w:szCs w:val="24"/>
        </w:rPr>
        <w:t>(</w:t>
      </w:r>
      <w:r w:rsidRPr="005D44F0">
        <w:rPr>
          <w:rFonts w:ascii="Arial" w:hAnsi="Arial" w:cs="Arial"/>
          <w:b/>
          <w:bCs/>
          <w:sz w:val="24"/>
          <w:szCs w:val="24"/>
        </w:rPr>
        <w:t>Environment risks and amenity</w:t>
      </w:r>
      <w:r w:rsidR="00F23C7B">
        <w:rPr>
          <w:rFonts w:ascii="Arial" w:hAnsi="Arial" w:cs="Arial"/>
          <w:b/>
          <w:bCs/>
          <w:sz w:val="24"/>
          <w:szCs w:val="24"/>
        </w:rPr>
        <w:t>)</w:t>
      </w:r>
      <w:r w:rsidRPr="005D44F0">
        <w:rPr>
          <w:rFonts w:ascii="Arial" w:hAnsi="Arial" w:cs="Arial"/>
          <w:b/>
          <w:bCs/>
          <w:sz w:val="24"/>
          <w:szCs w:val="24"/>
        </w:rPr>
        <w:t xml:space="preserve"> </w:t>
      </w:r>
      <w:r w:rsidRPr="005D44F0">
        <w:rPr>
          <w:rFonts w:ascii="Arial" w:hAnsi="Arial" w:cs="Arial"/>
          <w:sz w:val="24"/>
          <w:szCs w:val="24"/>
        </w:rPr>
        <w:t>acknowledges the importance of ensuring development gives due regard to climate change matters. It also recognises the importance of managing interfaces between sensitive land uses, to ensure that safeguard against amenity impacts. MUZ and DDO84 provide specific guidance relating to amenity and will ensure that such matters are considered through any planning decisions relating to the site. The framework for decision-making ensures that amenity considerations are appropriately assessed.</w:t>
      </w:r>
    </w:p>
    <w:p w14:paraId="73984EA6" w14:textId="77777777" w:rsidR="005C7B79" w:rsidRPr="005D44F0" w:rsidRDefault="005C7B79" w:rsidP="00C36FA9">
      <w:pPr>
        <w:adjustRightInd w:val="0"/>
        <w:rPr>
          <w:rFonts w:ascii="Arial" w:hAnsi="Arial" w:cs="Arial"/>
          <w:b/>
          <w:bCs/>
          <w:sz w:val="24"/>
          <w:szCs w:val="24"/>
        </w:rPr>
      </w:pPr>
    </w:p>
    <w:p w14:paraId="78F57CF2" w14:textId="193ED812" w:rsidR="005C7B79" w:rsidRPr="005D44F0" w:rsidRDefault="005C7B79" w:rsidP="00C36FA9">
      <w:pPr>
        <w:adjustRightInd w:val="0"/>
        <w:rPr>
          <w:rFonts w:ascii="Arial" w:hAnsi="Arial" w:cs="Arial"/>
          <w:sz w:val="24"/>
          <w:szCs w:val="24"/>
        </w:rPr>
      </w:pPr>
      <w:r w:rsidRPr="005D44F0">
        <w:rPr>
          <w:rFonts w:ascii="Arial" w:hAnsi="Arial" w:cs="Arial"/>
          <w:b/>
          <w:bCs/>
          <w:sz w:val="24"/>
          <w:szCs w:val="24"/>
        </w:rPr>
        <w:t xml:space="preserve">Clause 02.03-4 </w:t>
      </w:r>
      <w:r w:rsidR="00F23C7B">
        <w:rPr>
          <w:rFonts w:ascii="Arial" w:hAnsi="Arial" w:cs="Arial"/>
          <w:b/>
          <w:bCs/>
          <w:sz w:val="24"/>
          <w:szCs w:val="24"/>
        </w:rPr>
        <w:t>(</w:t>
      </w:r>
      <w:r w:rsidRPr="005D44F0">
        <w:rPr>
          <w:rFonts w:ascii="Arial" w:hAnsi="Arial" w:cs="Arial"/>
          <w:b/>
          <w:bCs/>
          <w:sz w:val="24"/>
          <w:szCs w:val="24"/>
        </w:rPr>
        <w:t>Built Environment and Heritage</w:t>
      </w:r>
      <w:r w:rsidR="00F23C7B">
        <w:rPr>
          <w:rFonts w:ascii="Arial" w:hAnsi="Arial" w:cs="Arial"/>
          <w:b/>
          <w:bCs/>
          <w:sz w:val="24"/>
          <w:szCs w:val="24"/>
        </w:rPr>
        <w:t>)</w:t>
      </w:r>
      <w:r w:rsidRPr="005D44F0">
        <w:rPr>
          <w:rFonts w:ascii="Arial" w:hAnsi="Arial" w:cs="Arial"/>
          <w:sz w:val="24"/>
          <w:szCs w:val="24"/>
        </w:rPr>
        <w:t xml:space="preserve"> recognises the importance of retaining Melbourne’s distinctive urban structure, and significant heritage buildings. It goes on to outline that where built form character of an area is valued, new development must respect such character and add to the overall quality of the environment. This amendment provides detailed built-form guidelines through the applicatio</w:t>
      </w:r>
      <w:r w:rsidR="00EA1301">
        <w:rPr>
          <w:rFonts w:ascii="Arial" w:hAnsi="Arial" w:cs="Arial"/>
          <w:sz w:val="24"/>
          <w:szCs w:val="24"/>
        </w:rPr>
        <w:t xml:space="preserve">n of the MUZ, </w:t>
      </w:r>
      <w:r w:rsidRPr="005D44F0">
        <w:rPr>
          <w:rFonts w:ascii="Arial" w:hAnsi="Arial" w:cs="Arial"/>
          <w:sz w:val="24"/>
          <w:szCs w:val="24"/>
        </w:rPr>
        <w:t>DDO84</w:t>
      </w:r>
      <w:r w:rsidR="00CD4130" w:rsidRPr="005D44F0">
        <w:rPr>
          <w:rFonts w:ascii="Arial" w:hAnsi="Arial" w:cs="Arial"/>
          <w:sz w:val="24"/>
          <w:szCs w:val="24"/>
        </w:rPr>
        <w:t xml:space="preserve"> and the ongoing application of </w:t>
      </w:r>
      <w:r w:rsidRPr="005D44F0">
        <w:rPr>
          <w:rFonts w:ascii="Arial" w:hAnsi="Arial" w:cs="Arial"/>
          <w:sz w:val="24"/>
          <w:szCs w:val="24"/>
        </w:rPr>
        <w:t>HO3. This provides a robust framework for decision making which will ensure that built-form outcomes enhance the character and heritage features of the site and surrounding area.</w:t>
      </w:r>
    </w:p>
    <w:p w14:paraId="0A842E34" w14:textId="77777777" w:rsidR="005C7B79" w:rsidRPr="005D44F0" w:rsidRDefault="005C7B79" w:rsidP="00C36FA9">
      <w:pPr>
        <w:adjustRightInd w:val="0"/>
        <w:rPr>
          <w:rFonts w:ascii="Arial" w:hAnsi="Arial" w:cs="Arial"/>
          <w:sz w:val="24"/>
          <w:szCs w:val="24"/>
        </w:rPr>
      </w:pPr>
    </w:p>
    <w:p w14:paraId="7CC73F41" w14:textId="2AE51C35" w:rsidR="005C7B79" w:rsidRPr="005D44F0" w:rsidRDefault="005C7B79" w:rsidP="00C36FA9">
      <w:pPr>
        <w:adjustRightInd w:val="0"/>
        <w:rPr>
          <w:rFonts w:ascii="Arial" w:hAnsi="Arial" w:cs="Arial"/>
          <w:sz w:val="24"/>
          <w:szCs w:val="24"/>
        </w:rPr>
      </w:pPr>
      <w:r w:rsidRPr="005D44F0">
        <w:rPr>
          <w:rFonts w:ascii="Arial" w:hAnsi="Arial" w:cs="Arial"/>
          <w:b/>
          <w:bCs/>
          <w:sz w:val="24"/>
          <w:szCs w:val="24"/>
        </w:rPr>
        <w:t xml:space="preserve">Clause 02.03-7 </w:t>
      </w:r>
      <w:r w:rsidR="00F23C7B">
        <w:rPr>
          <w:rFonts w:ascii="Arial" w:hAnsi="Arial" w:cs="Arial"/>
          <w:b/>
          <w:bCs/>
          <w:sz w:val="24"/>
          <w:szCs w:val="24"/>
        </w:rPr>
        <w:t>(</w:t>
      </w:r>
      <w:r w:rsidRPr="005D44F0">
        <w:rPr>
          <w:rFonts w:ascii="Arial" w:hAnsi="Arial" w:cs="Arial"/>
          <w:b/>
          <w:bCs/>
          <w:sz w:val="24"/>
          <w:szCs w:val="24"/>
        </w:rPr>
        <w:t>Transport</w:t>
      </w:r>
      <w:r w:rsidR="00F23C7B">
        <w:rPr>
          <w:rFonts w:ascii="Arial" w:hAnsi="Arial" w:cs="Arial"/>
          <w:b/>
          <w:bCs/>
          <w:sz w:val="24"/>
          <w:szCs w:val="24"/>
        </w:rPr>
        <w:t>)</w:t>
      </w:r>
      <w:r w:rsidRPr="005D44F0">
        <w:rPr>
          <w:rFonts w:ascii="Arial" w:hAnsi="Arial" w:cs="Arial"/>
          <w:sz w:val="24"/>
          <w:szCs w:val="24"/>
        </w:rPr>
        <w:t xml:space="preserve"> identifies that a priority for the </w:t>
      </w:r>
      <w:proofErr w:type="gramStart"/>
      <w:r w:rsidRPr="005D44F0">
        <w:rPr>
          <w:rFonts w:ascii="Arial" w:hAnsi="Arial" w:cs="Arial"/>
          <w:sz w:val="24"/>
          <w:szCs w:val="24"/>
        </w:rPr>
        <w:t>City</w:t>
      </w:r>
      <w:proofErr w:type="gramEnd"/>
      <w:r w:rsidRPr="005D44F0">
        <w:rPr>
          <w:rFonts w:ascii="Arial" w:hAnsi="Arial" w:cs="Arial"/>
          <w:sz w:val="24"/>
          <w:szCs w:val="24"/>
        </w:rPr>
        <w:t xml:space="preserve"> is to maximise the use of sustainable modes of travel, in particular public transport. The location of the site ensures that public transport is accessible, and multiple modes of travel to and from the site are within a walkable catchment. This amendment will ensure the aspiration of increasing public transport accessibility, and encouraging sustainable travel is achieved. </w:t>
      </w:r>
    </w:p>
    <w:p w14:paraId="79BFF5FA" w14:textId="77777777" w:rsidR="006D74D9" w:rsidRPr="005D44F0" w:rsidRDefault="006D74D9" w:rsidP="00C36FA9">
      <w:pPr>
        <w:adjustRightInd w:val="0"/>
        <w:rPr>
          <w:rFonts w:ascii="Arial" w:hAnsi="Arial" w:cs="Arial"/>
          <w:sz w:val="24"/>
          <w:szCs w:val="24"/>
        </w:rPr>
      </w:pPr>
    </w:p>
    <w:p w14:paraId="64FD48D8" w14:textId="754575DC" w:rsidR="005C7B79" w:rsidRDefault="005C7B79" w:rsidP="00C36FA9">
      <w:pPr>
        <w:rPr>
          <w:rFonts w:ascii="Arial" w:hAnsi="Arial" w:cs="Arial"/>
          <w:sz w:val="24"/>
          <w:szCs w:val="24"/>
        </w:rPr>
      </w:pPr>
      <w:r w:rsidRPr="005D44F0">
        <w:rPr>
          <w:rFonts w:ascii="Arial" w:hAnsi="Arial" w:cs="Arial"/>
          <w:sz w:val="24"/>
          <w:szCs w:val="24"/>
        </w:rPr>
        <w:t>The application of the MUZ and DDO84 is consistent with the direction provided by the PPF for the established areas of Arden Street.</w:t>
      </w:r>
    </w:p>
    <w:p w14:paraId="1AD3D187" w14:textId="253617C7" w:rsidR="005C1EE8" w:rsidRPr="005D44F0" w:rsidRDefault="005C1EE8" w:rsidP="00C36FA9">
      <w:pPr>
        <w:spacing w:before="186"/>
        <w:ind w:right="32"/>
        <w:rPr>
          <w:rFonts w:ascii="Arial"/>
          <w:b/>
          <w:sz w:val="28"/>
          <w:szCs w:val="28"/>
        </w:rPr>
      </w:pPr>
      <w:r w:rsidRPr="005D44F0">
        <w:rPr>
          <w:rFonts w:ascii="Arial"/>
          <w:b/>
          <w:sz w:val="28"/>
          <w:szCs w:val="28"/>
        </w:rPr>
        <w:t>Does the amendment make proper use of the Victoria Planning Provisions?</w:t>
      </w:r>
    </w:p>
    <w:p w14:paraId="587EC436" w14:textId="77777777" w:rsidR="006D74D9" w:rsidRDefault="006D74D9" w:rsidP="00C36FA9">
      <w:pPr>
        <w:adjustRightInd w:val="0"/>
        <w:rPr>
          <w:rFonts w:ascii="Arial" w:hAnsi="Arial" w:cs="Arial"/>
          <w:sz w:val="20"/>
        </w:rPr>
      </w:pPr>
    </w:p>
    <w:p w14:paraId="5D331B9E" w14:textId="6BC0BC8F" w:rsidR="006D74D9" w:rsidRPr="005D44F0" w:rsidRDefault="006D74D9" w:rsidP="00C36FA9">
      <w:pPr>
        <w:adjustRightInd w:val="0"/>
        <w:rPr>
          <w:rFonts w:ascii="Arial" w:hAnsi="Arial" w:cs="Arial"/>
          <w:sz w:val="24"/>
          <w:szCs w:val="24"/>
        </w:rPr>
      </w:pPr>
      <w:r w:rsidRPr="005D44F0">
        <w:rPr>
          <w:rFonts w:ascii="Arial" w:hAnsi="Arial" w:cs="Arial"/>
          <w:sz w:val="24"/>
          <w:szCs w:val="24"/>
        </w:rPr>
        <w:t xml:space="preserve">The amendment </w:t>
      </w:r>
      <w:r w:rsidR="005D44F0" w:rsidRPr="005D44F0">
        <w:rPr>
          <w:rFonts w:ascii="Arial" w:hAnsi="Arial" w:cs="Arial"/>
          <w:sz w:val="24"/>
          <w:szCs w:val="24"/>
        </w:rPr>
        <w:t>makes proper use of</w:t>
      </w:r>
      <w:r w:rsidRPr="005D44F0">
        <w:rPr>
          <w:rFonts w:ascii="Arial" w:hAnsi="Arial" w:cs="Arial"/>
          <w:sz w:val="24"/>
          <w:szCs w:val="24"/>
        </w:rPr>
        <w:t xml:space="preserve"> the Victoria Planning P</w:t>
      </w:r>
      <w:r w:rsidR="005D44F0" w:rsidRPr="005D44F0">
        <w:rPr>
          <w:rFonts w:ascii="Arial" w:hAnsi="Arial" w:cs="Arial"/>
          <w:sz w:val="24"/>
          <w:szCs w:val="24"/>
        </w:rPr>
        <w:t xml:space="preserve">rovisions (VPP) to the proposal by applying the </w:t>
      </w:r>
      <w:proofErr w:type="gramStart"/>
      <w:r w:rsidR="005D44F0" w:rsidRPr="005D44F0">
        <w:rPr>
          <w:rFonts w:ascii="Arial" w:hAnsi="Arial" w:cs="Arial"/>
          <w:sz w:val="24"/>
          <w:szCs w:val="24"/>
        </w:rPr>
        <w:t>Mixed Use</w:t>
      </w:r>
      <w:proofErr w:type="gramEnd"/>
      <w:r w:rsidR="005D44F0" w:rsidRPr="005D44F0">
        <w:rPr>
          <w:rFonts w:ascii="Arial" w:hAnsi="Arial" w:cs="Arial"/>
          <w:sz w:val="24"/>
          <w:szCs w:val="24"/>
        </w:rPr>
        <w:t xml:space="preserve"> Zone and introducing a new Design and Development Overlay Schedule.</w:t>
      </w:r>
    </w:p>
    <w:p w14:paraId="708852ED" w14:textId="77777777" w:rsidR="006D74D9" w:rsidRPr="005D44F0" w:rsidRDefault="006D74D9" w:rsidP="00C36FA9">
      <w:pPr>
        <w:adjustRightInd w:val="0"/>
        <w:rPr>
          <w:rFonts w:ascii="Arial" w:hAnsi="Arial" w:cs="Arial"/>
          <w:sz w:val="24"/>
          <w:szCs w:val="24"/>
        </w:rPr>
      </w:pPr>
    </w:p>
    <w:p w14:paraId="5576E09A" w14:textId="77777777" w:rsidR="005B5AD6" w:rsidRDefault="005B5AD6" w:rsidP="00621929">
      <w:pPr>
        <w:pStyle w:val="ListBullet"/>
        <w:numPr>
          <w:ilvl w:val="0"/>
          <w:numId w:val="0"/>
        </w:numPr>
        <w:rPr>
          <w:rFonts w:cs="Arial"/>
          <w:sz w:val="24"/>
          <w:szCs w:val="24"/>
          <w:u w:val="single"/>
        </w:rPr>
      </w:pPr>
    </w:p>
    <w:p w14:paraId="6F005518" w14:textId="51BCDCFE" w:rsidR="00E52849" w:rsidRPr="005D44F0" w:rsidRDefault="006D74D9" w:rsidP="00621929">
      <w:pPr>
        <w:pStyle w:val="ListBullet"/>
        <w:numPr>
          <w:ilvl w:val="0"/>
          <w:numId w:val="0"/>
        </w:numPr>
        <w:rPr>
          <w:rFonts w:cs="Arial"/>
          <w:sz w:val="24"/>
          <w:szCs w:val="24"/>
        </w:rPr>
      </w:pPr>
      <w:r w:rsidRPr="005D44F0">
        <w:rPr>
          <w:rFonts w:cs="Arial"/>
          <w:sz w:val="24"/>
          <w:szCs w:val="24"/>
          <w:u w:val="single"/>
        </w:rPr>
        <w:lastRenderedPageBreak/>
        <w:t>Mixed Use Zone</w:t>
      </w:r>
      <w:r w:rsidR="00E52849" w:rsidRPr="005D44F0">
        <w:rPr>
          <w:rFonts w:cs="Arial"/>
          <w:sz w:val="24"/>
          <w:szCs w:val="24"/>
        </w:rPr>
        <w:br/>
      </w:r>
      <w:r w:rsidR="00E52849" w:rsidRPr="005D44F0">
        <w:rPr>
          <w:rFonts w:cs="Arial"/>
          <w:sz w:val="24"/>
          <w:szCs w:val="24"/>
        </w:rPr>
        <w:br/>
        <w:t xml:space="preserve">A </w:t>
      </w:r>
      <w:proofErr w:type="gramStart"/>
      <w:r w:rsidR="00E52849" w:rsidRPr="005D44F0">
        <w:rPr>
          <w:rFonts w:cs="Arial"/>
          <w:sz w:val="24"/>
          <w:szCs w:val="24"/>
        </w:rPr>
        <w:t>Mixed Use</w:t>
      </w:r>
      <w:proofErr w:type="gramEnd"/>
      <w:r w:rsidR="00E52849" w:rsidRPr="005D44F0">
        <w:rPr>
          <w:rFonts w:cs="Arial"/>
          <w:sz w:val="24"/>
          <w:szCs w:val="24"/>
        </w:rPr>
        <w:t xml:space="preserve"> </w:t>
      </w:r>
      <w:r w:rsidR="00E52849" w:rsidRPr="00621929">
        <w:rPr>
          <w:sz w:val="24"/>
          <w:szCs w:val="24"/>
        </w:rPr>
        <w:t>Zone</w:t>
      </w:r>
      <w:r w:rsidR="00E52849" w:rsidRPr="005D44F0">
        <w:rPr>
          <w:rFonts w:cs="Arial"/>
          <w:sz w:val="24"/>
          <w:szCs w:val="24"/>
        </w:rPr>
        <w:t xml:space="preserve"> (MUZ) is the most appropriate zoning for the site as it provides a greater suite of land uses that are still considered suitable in a residential context. The MUZ is the most appropriate zone given that it:</w:t>
      </w:r>
    </w:p>
    <w:p w14:paraId="5DD1792F" w14:textId="07BC2E07" w:rsidR="00E52849" w:rsidRPr="00621929" w:rsidRDefault="00E52849" w:rsidP="00621929">
      <w:pPr>
        <w:pStyle w:val="ListBullet"/>
        <w:rPr>
          <w:sz w:val="24"/>
          <w:szCs w:val="24"/>
        </w:rPr>
      </w:pPr>
      <w:r w:rsidRPr="005D44F0">
        <w:rPr>
          <w:rFonts w:cs="Arial"/>
          <w:sz w:val="24"/>
          <w:szCs w:val="24"/>
        </w:rPr>
        <w:t>Aligns with much of the surrounding context</w:t>
      </w:r>
      <w:r w:rsidR="00D253DE">
        <w:rPr>
          <w:rFonts w:cs="Arial"/>
          <w:sz w:val="24"/>
          <w:szCs w:val="24"/>
        </w:rPr>
        <w:t xml:space="preserve"> south of Arden Street</w:t>
      </w:r>
      <w:r w:rsidRPr="005D44F0">
        <w:rPr>
          <w:rFonts w:cs="Arial"/>
          <w:sz w:val="24"/>
          <w:szCs w:val="24"/>
        </w:rPr>
        <w:t xml:space="preserve">, noting </w:t>
      </w:r>
      <w:r w:rsidR="00D253DE">
        <w:rPr>
          <w:rFonts w:cs="Arial"/>
          <w:sz w:val="24"/>
          <w:szCs w:val="24"/>
        </w:rPr>
        <w:t>land is</w:t>
      </w:r>
      <w:r w:rsidRPr="005D44F0">
        <w:rPr>
          <w:rFonts w:cs="Arial"/>
          <w:sz w:val="24"/>
          <w:szCs w:val="24"/>
        </w:rPr>
        <w:t xml:space="preserve"> largely within </w:t>
      </w:r>
      <w:r w:rsidRPr="00621929">
        <w:rPr>
          <w:sz w:val="24"/>
          <w:szCs w:val="24"/>
        </w:rPr>
        <w:t>the MUZ.</w:t>
      </w:r>
    </w:p>
    <w:p w14:paraId="06350386" w14:textId="4A6824D4" w:rsidR="00E52849" w:rsidRPr="00621929" w:rsidRDefault="00E52849" w:rsidP="00621929">
      <w:pPr>
        <w:pStyle w:val="ListBullet"/>
        <w:rPr>
          <w:sz w:val="24"/>
          <w:szCs w:val="24"/>
        </w:rPr>
      </w:pPr>
      <w:r w:rsidRPr="00621929">
        <w:rPr>
          <w:sz w:val="24"/>
          <w:szCs w:val="24"/>
        </w:rPr>
        <w:t xml:space="preserve">Only allows up to 250sqm of office-floorspace without a </w:t>
      </w:r>
      <w:r w:rsidR="006D4BDF">
        <w:rPr>
          <w:sz w:val="24"/>
          <w:szCs w:val="24"/>
        </w:rPr>
        <w:t xml:space="preserve">planning </w:t>
      </w:r>
      <w:r w:rsidRPr="00621929">
        <w:rPr>
          <w:sz w:val="24"/>
          <w:szCs w:val="24"/>
        </w:rPr>
        <w:t xml:space="preserve">permit. Anything above 250sqm would trigger the requirement for a permit. This safeguards residential amenities and ensures that the building cannot be occupied by a more intensive </w:t>
      </w:r>
      <w:r w:rsidR="006D4BDF">
        <w:rPr>
          <w:sz w:val="24"/>
          <w:szCs w:val="24"/>
        </w:rPr>
        <w:t>office use</w:t>
      </w:r>
      <w:r w:rsidR="006D4BDF" w:rsidRPr="00621929">
        <w:rPr>
          <w:sz w:val="24"/>
          <w:szCs w:val="24"/>
        </w:rPr>
        <w:t xml:space="preserve"> </w:t>
      </w:r>
      <w:r w:rsidR="006D4BDF">
        <w:rPr>
          <w:sz w:val="24"/>
          <w:szCs w:val="24"/>
        </w:rPr>
        <w:t>unless</w:t>
      </w:r>
      <w:r w:rsidR="006D4BDF" w:rsidRPr="00621929">
        <w:rPr>
          <w:sz w:val="24"/>
          <w:szCs w:val="24"/>
        </w:rPr>
        <w:t xml:space="preserve"> </w:t>
      </w:r>
      <w:r w:rsidRPr="00621929">
        <w:rPr>
          <w:sz w:val="24"/>
          <w:szCs w:val="24"/>
        </w:rPr>
        <w:t>an appropriate assessment has been made.</w:t>
      </w:r>
    </w:p>
    <w:p w14:paraId="771FC7F9" w14:textId="4288C03E" w:rsidR="00E52849" w:rsidRPr="005D44F0" w:rsidRDefault="00E52849" w:rsidP="00621929">
      <w:pPr>
        <w:pStyle w:val="ListBullet"/>
        <w:rPr>
          <w:rFonts w:cs="Arial"/>
          <w:sz w:val="24"/>
          <w:szCs w:val="24"/>
        </w:rPr>
      </w:pPr>
      <w:r w:rsidRPr="00621929">
        <w:rPr>
          <w:sz w:val="24"/>
          <w:szCs w:val="24"/>
        </w:rPr>
        <w:t>While the MUZ has a greater suite of land uses identified within Category 2 when compared with the GRZ, this is acceptable as Category 2 uses require a permit. Council would be able to ensure</w:t>
      </w:r>
      <w:r w:rsidRPr="005D44F0">
        <w:rPr>
          <w:rFonts w:cs="Arial"/>
          <w:sz w:val="24"/>
          <w:szCs w:val="24"/>
        </w:rPr>
        <w:t xml:space="preserve"> that any potential conflict with existing residential uses could be appropriately assessed</w:t>
      </w:r>
      <w:r w:rsidR="00C17D26">
        <w:rPr>
          <w:rFonts w:cs="Arial"/>
          <w:sz w:val="24"/>
          <w:szCs w:val="24"/>
        </w:rPr>
        <w:t xml:space="preserve"> </w:t>
      </w:r>
      <w:r w:rsidR="003A5E7F">
        <w:rPr>
          <w:rFonts w:cs="Arial"/>
          <w:sz w:val="24"/>
          <w:szCs w:val="24"/>
        </w:rPr>
        <w:t>including</w:t>
      </w:r>
      <w:r w:rsidR="00C17D26">
        <w:rPr>
          <w:rFonts w:cs="Arial"/>
          <w:sz w:val="24"/>
          <w:szCs w:val="24"/>
        </w:rPr>
        <w:t xml:space="preserve"> any </w:t>
      </w:r>
      <w:r w:rsidRPr="005D44F0">
        <w:rPr>
          <w:rFonts w:cs="Arial"/>
          <w:sz w:val="24"/>
          <w:szCs w:val="24"/>
        </w:rPr>
        <w:t>potential amenity impacts from future uses.</w:t>
      </w:r>
    </w:p>
    <w:p w14:paraId="07FCEA16" w14:textId="4AEA846A" w:rsidR="00E52849" w:rsidRPr="005D44F0" w:rsidRDefault="005D44F0" w:rsidP="00621929">
      <w:pPr>
        <w:pStyle w:val="ListBullet"/>
        <w:numPr>
          <w:ilvl w:val="0"/>
          <w:numId w:val="0"/>
        </w:numPr>
        <w:rPr>
          <w:rFonts w:cs="Arial"/>
          <w:sz w:val="24"/>
          <w:szCs w:val="24"/>
        </w:rPr>
      </w:pPr>
      <w:r>
        <w:rPr>
          <w:rFonts w:cs="Arial"/>
          <w:sz w:val="24"/>
          <w:szCs w:val="24"/>
        </w:rPr>
        <w:t xml:space="preserve">In comparison, the </w:t>
      </w:r>
      <w:r w:rsidR="00E52849" w:rsidRPr="005D44F0">
        <w:rPr>
          <w:rFonts w:cs="Arial"/>
          <w:sz w:val="24"/>
          <w:szCs w:val="24"/>
        </w:rPr>
        <w:t xml:space="preserve">Commercial </w:t>
      </w:r>
      <w:r w:rsidR="00E52849" w:rsidRPr="00621929">
        <w:rPr>
          <w:sz w:val="24"/>
          <w:szCs w:val="24"/>
        </w:rPr>
        <w:t>Zone</w:t>
      </w:r>
      <w:r w:rsidR="00E52849" w:rsidRPr="005D44F0">
        <w:rPr>
          <w:rFonts w:cs="Arial"/>
          <w:sz w:val="24"/>
          <w:szCs w:val="24"/>
        </w:rPr>
        <w:t xml:space="preserve"> 1 or 2 </w:t>
      </w:r>
      <w:proofErr w:type="gramStart"/>
      <w:r w:rsidR="00E52849" w:rsidRPr="005D44F0">
        <w:rPr>
          <w:rFonts w:cs="Arial"/>
          <w:sz w:val="24"/>
          <w:szCs w:val="24"/>
        </w:rPr>
        <w:t xml:space="preserve">would be </w:t>
      </w:r>
      <w:r>
        <w:rPr>
          <w:rFonts w:cs="Arial"/>
          <w:sz w:val="24"/>
          <w:szCs w:val="24"/>
        </w:rPr>
        <w:t>not be</w:t>
      </w:r>
      <w:proofErr w:type="gramEnd"/>
      <w:r>
        <w:rPr>
          <w:rFonts w:cs="Arial"/>
          <w:sz w:val="24"/>
          <w:szCs w:val="24"/>
        </w:rPr>
        <w:t xml:space="preserve"> the preferred option as</w:t>
      </w:r>
      <w:r w:rsidR="00E52849" w:rsidRPr="005D44F0">
        <w:rPr>
          <w:rFonts w:cs="Arial"/>
          <w:sz w:val="24"/>
          <w:szCs w:val="24"/>
        </w:rPr>
        <w:t>:</w:t>
      </w:r>
    </w:p>
    <w:p w14:paraId="2D1DDCD8" w14:textId="0C166063" w:rsidR="00E52849" w:rsidRPr="00621929" w:rsidRDefault="00E52849" w:rsidP="00621929">
      <w:pPr>
        <w:pStyle w:val="ListBullet"/>
        <w:rPr>
          <w:sz w:val="24"/>
          <w:szCs w:val="24"/>
        </w:rPr>
      </w:pPr>
      <w:r w:rsidRPr="005D44F0">
        <w:rPr>
          <w:rFonts w:cs="Arial"/>
          <w:sz w:val="24"/>
          <w:szCs w:val="24"/>
        </w:rPr>
        <w:t xml:space="preserve">The suite of land uses considered acceptable in a Commercial Zone, when </w:t>
      </w:r>
      <w:r w:rsidRPr="00621929">
        <w:rPr>
          <w:sz w:val="24"/>
          <w:szCs w:val="24"/>
        </w:rPr>
        <w:t>compared to the MUZ, are of more potential detriment to residential land uses. Commercial Zones 1 and 2 have lesser restrictions in relation to maximum floor space restrictions, and a wider range of potential use classes that could occupy the site, without the need for a permit.</w:t>
      </w:r>
    </w:p>
    <w:p w14:paraId="7793C35F" w14:textId="2F54A819" w:rsidR="00E52849" w:rsidRPr="00621929" w:rsidRDefault="00E52849" w:rsidP="00621929">
      <w:pPr>
        <w:pStyle w:val="ListBullet"/>
        <w:rPr>
          <w:sz w:val="24"/>
          <w:szCs w:val="24"/>
        </w:rPr>
      </w:pPr>
      <w:r w:rsidRPr="00621929">
        <w:rPr>
          <w:sz w:val="24"/>
          <w:szCs w:val="24"/>
        </w:rPr>
        <w:t>Office uses are allowed within Commercial Zone 1 and 2, without any restrictions or conditions relating to their occupation. This could allow land uses that could use the site far more intensely by a future owner/occupier (without the requirement for a permit) which could be of potential detriment.</w:t>
      </w:r>
    </w:p>
    <w:p w14:paraId="72C2A9C0" w14:textId="1B75CD17" w:rsidR="00E52849" w:rsidRPr="005D44F0" w:rsidRDefault="00E52849" w:rsidP="00621929">
      <w:pPr>
        <w:pStyle w:val="ListBullet"/>
        <w:rPr>
          <w:rFonts w:cs="Arial"/>
          <w:sz w:val="24"/>
          <w:szCs w:val="24"/>
        </w:rPr>
      </w:pPr>
      <w:r w:rsidRPr="00621929">
        <w:rPr>
          <w:rFonts w:hint="eastAsia"/>
          <w:sz w:val="24"/>
          <w:szCs w:val="24"/>
        </w:rPr>
        <w:t xml:space="preserve">The </w:t>
      </w:r>
      <w:r w:rsidRPr="00621929">
        <w:rPr>
          <w:sz w:val="24"/>
          <w:szCs w:val="24"/>
        </w:rPr>
        <w:t>Commercial Zone</w:t>
      </w:r>
      <w:r w:rsidRPr="005D44F0">
        <w:rPr>
          <w:rFonts w:cs="Arial"/>
          <w:sz w:val="24"/>
          <w:szCs w:val="24"/>
        </w:rPr>
        <w:t xml:space="preserve"> 2 allows a number of </w:t>
      </w:r>
      <w:proofErr w:type="gramStart"/>
      <w:r w:rsidRPr="005D44F0">
        <w:rPr>
          <w:rFonts w:cs="Arial"/>
          <w:sz w:val="24"/>
          <w:szCs w:val="24"/>
        </w:rPr>
        <w:t>land</w:t>
      </w:r>
      <w:proofErr w:type="gramEnd"/>
      <w:r w:rsidRPr="005D44F0">
        <w:rPr>
          <w:rFonts w:cs="Arial"/>
          <w:sz w:val="24"/>
          <w:szCs w:val="24"/>
        </w:rPr>
        <w:t xml:space="preserve"> uses a Section 1 use, which do not require a permit subject to compliance with the conditions and could be of detriment to the </w:t>
      </w:r>
      <w:r w:rsidR="005D44F0" w:rsidRPr="005D44F0">
        <w:rPr>
          <w:rFonts w:cs="Arial"/>
          <w:sz w:val="24"/>
          <w:szCs w:val="24"/>
        </w:rPr>
        <w:t>adjoining residential land uses.</w:t>
      </w:r>
    </w:p>
    <w:p w14:paraId="1A648441" w14:textId="77777777" w:rsidR="00E52849" w:rsidRDefault="00E52849" w:rsidP="00C36FA9">
      <w:pPr>
        <w:widowControl/>
        <w:adjustRightInd w:val="0"/>
        <w:rPr>
          <w:rFonts w:ascii="Arial" w:hAnsi="Arial" w:cs="Arial"/>
          <w:sz w:val="20"/>
        </w:rPr>
      </w:pPr>
    </w:p>
    <w:p w14:paraId="326599BB" w14:textId="1E41F9DB" w:rsidR="00F829C2" w:rsidRDefault="00F15880" w:rsidP="00C36FA9">
      <w:pPr>
        <w:widowControl/>
        <w:adjustRightInd w:val="0"/>
        <w:rPr>
          <w:rFonts w:ascii="Arial" w:hAnsi="Arial" w:cs="Arial"/>
          <w:sz w:val="24"/>
          <w:szCs w:val="24"/>
        </w:rPr>
      </w:pPr>
      <w:r>
        <w:rPr>
          <w:rFonts w:ascii="Arial" w:hAnsi="Arial" w:cs="Arial"/>
          <w:sz w:val="24"/>
          <w:szCs w:val="24"/>
          <w:u w:val="single"/>
        </w:rPr>
        <w:t xml:space="preserve">Design and </w:t>
      </w:r>
      <w:r w:rsidR="006D74D9" w:rsidRPr="00F829C2">
        <w:rPr>
          <w:rFonts w:ascii="Arial" w:hAnsi="Arial" w:cs="Arial"/>
          <w:sz w:val="24"/>
          <w:szCs w:val="24"/>
          <w:u w:val="single"/>
        </w:rPr>
        <w:t>Development Overlay – Schedule 84</w:t>
      </w:r>
      <w:r w:rsidR="006D74D9" w:rsidRPr="00F829C2">
        <w:rPr>
          <w:rFonts w:ascii="Arial" w:hAnsi="Arial" w:cs="Arial"/>
          <w:b/>
          <w:bCs/>
          <w:sz w:val="24"/>
          <w:szCs w:val="24"/>
        </w:rPr>
        <w:br/>
      </w:r>
    </w:p>
    <w:p w14:paraId="456FEF6A" w14:textId="60948F08" w:rsidR="006D48D8" w:rsidRPr="005B5AD6" w:rsidRDefault="006D74D9" w:rsidP="005B5AD6">
      <w:pPr>
        <w:adjustRightInd w:val="0"/>
        <w:rPr>
          <w:rFonts w:ascii="Arial" w:hAnsi="Arial" w:cs="Arial"/>
          <w:sz w:val="24"/>
          <w:szCs w:val="24"/>
        </w:rPr>
      </w:pPr>
      <w:r w:rsidRPr="00F829C2">
        <w:rPr>
          <w:rFonts w:ascii="Arial" w:hAnsi="Arial" w:cs="Arial"/>
          <w:sz w:val="24"/>
          <w:szCs w:val="24"/>
        </w:rPr>
        <w:t xml:space="preserve">The </w:t>
      </w:r>
      <w:r w:rsidR="00F15880">
        <w:rPr>
          <w:rFonts w:ascii="Arial" w:hAnsi="Arial" w:cs="Arial"/>
          <w:sz w:val="24"/>
          <w:szCs w:val="24"/>
        </w:rPr>
        <w:t xml:space="preserve">Design and </w:t>
      </w:r>
      <w:r w:rsidRPr="00F829C2">
        <w:rPr>
          <w:rFonts w:ascii="Arial" w:hAnsi="Arial" w:cs="Arial"/>
          <w:sz w:val="24"/>
          <w:szCs w:val="24"/>
        </w:rPr>
        <w:t xml:space="preserve">Development Overlay (DDO) is proposed to </w:t>
      </w:r>
      <w:r w:rsidR="004C622A" w:rsidRPr="002F7479">
        <w:rPr>
          <w:rFonts w:ascii="Arial" w:hAnsi="Arial" w:cs="Arial"/>
          <w:sz w:val="24"/>
          <w:szCs w:val="24"/>
        </w:rPr>
        <w:t>intro</w:t>
      </w:r>
      <w:r w:rsidR="002F7479">
        <w:rPr>
          <w:rFonts w:ascii="Arial" w:hAnsi="Arial" w:cs="Arial"/>
          <w:sz w:val="24"/>
          <w:szCs w:val="24"/>
        </w:rPr>
        <w:t>duce</w:t>
      </w:r>
      <w:r w:rsidR="002F7479" w:rsidRPr="002F7479">
        <w:rPr>
          <w:rFonts w:ascii="Arial" w:hAnsi="Arial" w:cs="Arial"/>
          <w:sz w:val="24"/>
          <w:szCs w:val="24"/>
        </w:rPr>
        <w:t xml:space="preserve"> specific requirements relating to the design and built form of </w:t>
      </w:r>
      <w:r w:rsidR="002F7479">
        <w:rPr>
          <w:rFonts w:ascii="Arial" w:hAnsi="Arial" w:cs="Arial"/>
          <w:sz w:val="24"/>
          <w:szCs w:val="24"/>
        </w:rPr>
        <w:t>future</w:t>
      </w:r>
      <w:r w:rsidR="002F7479" w:rsidRPr="002F7479">
        <w:rPr>
          <w:rFonts w:ascii="Arial" w:hAnsi="Arial" w:cs="Arial"/>
          <w:sz w:val="24"/>
          <w:szCs w:val="24"/>
        </w:rPr>
        <w:t xml:space="preserve"> development</w:t>
      </w:r>
      <w:r w:rsidR="002F7479">
        <w:rPr>
          <w:rFonts w:ascii="Arial" w:hAnsi="Arial" w:cs="Arial"/>
          <w:sz w:val="24"/>
          <w:szCs w:val="24"/>
        </w:rPr>
        <w:t xml:space="preserve"> on the site</w:t>
      </w:r>
      <w:r w:rsidR="007547F8">
        <w:rPr>
          <w:rFonts w:ascii="Arial" w:hAnsi="Arial" w:cs="Arial"/>
          <w:sz w:val="24"/>
          <w:szCs w:val="24"/>
        </w:rPr>
        <w:t>.</w:t>
      </w:r>
      <w:r w:rsidR="00C0526F">
        <w:rPr>
          <w:rFonts w:ascii="Arial" w:hAnsi="Arial" w:cs="Arial"/>
          <w:sz w:val="24"/>
          <w:szCs w:val="24"/>
        </w:rPr>
        <w:t xml:space="preserve"> </w:t>
      </w:r>
      <w:r w:rsidR="00C0526F" w:rsidRPr="00F829C2">
        <w:rPr>
          <w:rFonts w:ascii="Arial" w:hAnsi="Arial" w:cs="Arial"/>
          <w:sz w:val="24"/>
          <w:szCs w:val="24"/>
        </w:rPr>
        <w:t xml:space="preserve">DDO84 will provide </w:t>
      </w:r>
      <w:r w:rsidR="00C0526F">
        <w:rPr>
          <w:rFonts w:ascii="Arial" w:hAnsi="Arial" w:cs="Arial"/>
          <w:sz w:val="24"/>
          <w:szCs w:val="24"/>
        </w:rPr>
        <w:t xml:space="preserve">site-specific </w:t>
      </w:r>
      <w:r w:rsidR="00C0526F" w:rsidRPr="00F829C2">
        <w:rPr>
          <w:rFonts w:ascii="Arial" w:hAnsi="Arial" w:cs="Arial"/>
          <w:sz w:val="24"/>
          <w:szCs w:val="24"/>
        </w:rPr>
        <w:t>controls that will ensure that future development</w:t>
      </w:r>
      <w:r w:rsidR="00C0526F">
        <w:rPr>
          <w:rFonts w:ascii="Arial" w:hAnsi="Arial" w:cs="Arial"/>
          <w:sz w:val="24"/>
          <w:szCs w:val="24"/>
        </w:rPr>
        <w:t xml:space="preserve"> including additional built form on the site</w:t>
      </w:r>
      <w:r w:rsidR="00C0526F" w:rsidRPr="00F829C2">
        <w:rPr>
          <w:rFonts w:ascii="Arial" w:hAnsi="Arial" w:cs="Arial"/>
          <w:sz w:val="24"/>
          <w:szCs w:val="24"/>
        </w:rPr>
        <w:t xml:space="preserve"> is </w:t>
      </w:r>
      <w:r w:rsidR="00C0526F">
        <w:rPr>
          <w:rFonts w:ascii="Arial" w:hAnsi="Arial" w:cs="Arial"/>
          <w:sz w:val="24"/>
          <w:szCs w:val="24"/>
        </w:rPr>
        <w:t xml:space="preserve">responsive </w:t>
      </w:r>
      <w:r w:rsidR="00C0526F" w:rsidRPr="00F829C2">
        <w:rPr>
          <w:rFonts w:ascii="Arial" w:hAnsi="Arial" w:cs="Arial"/>
          <w:sz w:val="24"/>
          <w:szCs w:val="24"/>
        </w:rPr>
        <w:t>to the surrounding context</w:t>
      </w:r>
      <w:r w:rsidR="00C0526F">
        <w:rPr>
          <w:rFonts w:ascii="Arial" w:hAnsi="Arial" w:cs="Arial"/>
          <w:sz w:val="24"/>
          <w:szCs w:val="24"/>
        </w:rPr>
        <w:t>, site slope and heritage fabric</w:t>
      </w:r>
      <w:r w:rsidR="00C0526F" w:rsidRPr="00F829C2">
        <w:rPr>
          <w:rFonts w:ascii="Arial" w:hAnsi="Arial" w:cs="Arial"/>
          <w:sz w:val="24"/>
          <w:szCs w:val="24"/>
        </w:rPr>
        <w:t>.</w:t>
      </w:r>
      <w:r w:rsidR="00C0526F">
        <w:rPr>
          <w:rFonts w:ascii="Arial" w:hAnsi="Arial" w:cs="Arial"/>
          <w:sz w:val="24"/>
          <w:szCs w:val="24"/>
        </w:rPr>
        <w:t xml:space="preserve"> The DDO is the most appropriate control to achieve these outcomes.</w:t>
      </w:r>
    </w:p>
    <w:p w14:paraId="31831E1C" w14:textId="77777777" w:rsidR="006D48D8" w:rsidRDefault="006D48D8" w:rsidP="00C36FA9">
      <w:pPr>
        <w:widowControl/>
        <w:adjustRightInd w:val="0"/>
        <w:rPr>
          <w:rFonts w:ascii="Arial"/>
          <w:b/>
          <w:sz w:val="28"/>
          <w:szCs w:val="28"/>
        </w:rPr>
      </w:pPr>
    </w:p>
    <w:p w14:paraId="023C579E" w14:textId="72408D8C" w:rsidR="00F829C2" w:rsidRDefault="00856912" w:rsidP="00C36FA9">
      <w:pPr>
        <w:widowControl/>
        <w:adjustRightInd w:val="0"/>
        <w:rPr>
          <w:rFonts w:ascii="Arial"/>
          <w:b/>
          <w:sz w:val="28"/>
          <w:szCs w:val="28"/>
        </w:rPr>
      </w:pPr>
      <w:r w:rsidRPr="00856912">
        <w:rPr>
          <w:rFonts w:ascii="Arial"/>
          <w:b/>
          <w:sz w:val="28"/>
          <w:szCs w:val="28"/>
        </w:rPr>
        <w:t>How does the Amendment address the views of any relevant agencies?</w:t>
      </w:r>
    </w:p>
    <w:p w14:paraId="0B704E47" w14:textId="77777777" w:rsidR="00856912" w:rsidRPr="00856912" w:rsidRDefault="00856912" w:rsidP="00C36FA9">
      <w:pPr>
        <w:widowControl/>
        <w:adjustRightInd w:val="0"/>
        <w:rPr>
          <w:rFonts w:ascii="Arial"/>
          <w:b/>
          <w:sz w:val="28"/>
          <w:szCs w:val="28"/>
        </w:rPr>
      </w:pPr>
    </w:p>
    <w:p w14:paraId="1787451E" w14:textId="1F59E41C" w:rsidR="00856912" w:rsidRPr="00856912" w:rsidRDefault="00856912" w:rsidP="00C36FA9">
      <w:pPr>
        <w:widowControl/>
        <w:adjustRightInd w:val="0"/>
        <w:rPr>
          <w:rFonts w:ascii="Arial" w:hAnsi="Arial"/>
          <w:sz w:val="24"/>
          <w:szCs w:val="24"/>
        </w:rPr>
      </w:pPr>
      <w:r w:rsidRPr="00856912">
        <w:rPr>
          <w:rFonts w:ascii="Arial" w:hAnsi="Arial"/>
          <w:sz w:val="24"/>
          <w:szCs w:val="24"/>
        </w:rPr>
        <w:t xml:space="preserve">All relevant stakeholders and agencies will be </w:t>
      </w:r>
      <w:proofErr w:type="gramStart"/>
      <w:r w:rsidRPr="00856912">
        <w:rPr>
          <w:rFonts w:ascii="Arial" w:hAnsi="Arial"/>
          <w:sz w:val="24"/>
          <w:szCs w:val="24"/>
        </w:rPr>
        <w:t>notified</w:t>
      </w:r>
      <w:proofErr w:type="gramEnd"/>
      <w:r w:rsidRPr="00856912">
        <w:rPr>
          <w:rFonts w:ascii="Arial" w:hAnsi="Arial"/>
          <w:sz w:val="24"/>
          <w:szCs w:val="24"/>
        </w:rPr>
        <w:t xml:space="preserve"> and their views will be sought as part of amendment exhibition process.</w:t>
      </w:r>
    </w:p>
    <w:p w14:paraId="3AD27693" w14:textId="77777777" w:rsidR="005B5AD6" w:rsidRDefault="005B5AD6" w:rsidP="00C36FA9">
      <w:pPr>
        <w:spacing w:before="186"/>
        <w:ind w:right="32"/>
        <w:rPr>
          <w:rFonts w:ascii="Arial"/>
          <w:b/>
          <w:sz w:val="28"/>
          <w:szCs w:val="28"/>
        </w:rPr>
      </w:pPr>
    </w:p>
    <w:p w14:paraId="0A736DE7" w14:textId="3E4010D4" w:rsidR="005C1EE8" w:rsidRPr="00F829C2" w:rsidRDefault="005C1EE8" w:rsidP="00C36FA9">
      <w:pPr>
        <w:spacing w:before="186"/>
        <w:ind w:right="32"/>
        <w:rPr>
          <w:rFonts w:ascii="Arial"/>
          <w:b/>
          <w:sz w:val="28"/>
          <w:szCs w:val="28"/>
        </w:rPr>
      </w:pPr>
      <w:r w:rsidRPr="00F829C2">
        <w:rPr>
          <w:rFonts w:ascii="Arial"/>
          <w:b/>
          <w:sz w:val="28"/>
          <w:szCs w:val="28"/>
        </w:rPr>
        <w:lastRenderedPageBreak/>
        <w:t>Does the amendment address relevant requirements of the Transport Integration Act 2010?</w:t>
      </w:r>
    </w:p>
    <w:p w14:paraId="537D5544" w14:textId="701BF834" w:rsidR="001369DB" w:rsidRPr="00F829C2" w:rsidRDefault="001369DB" w:rsidP="00C36FA9">
      <w:pPr>
        <w:spacing w:before="186"/>
        <w:ind w:right="32"/>
        <w:rPr>
          <w:rFonts w:ascii="Arial" w:hAnsi="Arial"/>
          <w:sz w:val="24"/>
          <w:szCs w:val="24"/>
        </w:rPr>
      </w:pPr>
      <w:r w:rsidRPr="00F829C2">
        <w:rPr>
          <w:rFonts w:ascii="Arial" w:hAnsi="Arial"/>
          <w:sz w:val="24"/>
          <w:szCs w:val="24"/>
        </w:rPr>
        <w:t xml:space="preserve">The amendment has no </w:t>
      </w:r>
      <w:r w:rsidR="003424D0">
        <w:rPr>
          <w:rFonts w:ascii="Arial" w:hAnsi="Arial"/>
          <w:sz w:val="24"/>
          <w:szCs w:val="24"/>
        </w:rPr>
        <w:t>significant impact on the transport system</w:t>
      </w:r>
      <w:r w:rsidRPr="00F829C2">
        <w:rPr>
          <w:rFonts w:ascii="Arial" w:hAnsi="Arial"/>
          <w:sz w:val="24"/>
          <w:szCs w:val="24"/>
        </w:rPr>
        <w:t>.</w:t>
      </w:r>
    </w:p>
    <w:p w14:paraId="561CFD2A" w14:textId="2428FCF7" w:rsidR="005C1EE8" w:rsidRPr="00F829C2" w:rsidRDefault="005C1EE8" w:rsidP="00C36FA9">
      <w:pPr>
        <w:spacing w:before="186"/>
        <w:ind w:right="32"/>
        <w:rPr>
          <w:rFonts w:ascii="Arial"/>
          <w:b/>
          <w:sz w:val="32"/>
          <w:szCs w:val="32"/>
        </w:rPr>
      </w:pPr>
      <w:r w:rsidRPr="00F829C2">
        <w:rPr>
          <w:rFonts w:ascii="Arial"/>
          <w:b/>
          <w:sz w:val="32"/>
          <w:szCs w:val="32"/>
        </w:rPr>
        <w:t>Resource and administrative costs</w:t>
      </w:r>
    </w:p>
    <w:p w14:paraId="0EAA0B49" w14:textId="77777777" w:rsidR="005C1EE8" w:rsidRDefault="005C1EE8" w:rsidP="00C36FA9">
      <w:pPr>
        <w:pStyle w:val="BodyText"/>
        <w:spacing w:before="2"/>
        <w:ind w:right="32"/>
        <w:rPr>
          <w:rFonts w:ascii="Arial"/>
          <w:b/>
          <w:sz w:val="20"/>
        </w:rPr>
      </w:pPr>
    </w:p>
    <w:p w14:paraId="2C7F9955" w14:textId="77777777" w:rsidR="005C1EE8" w:rsidRPr="00F829C2" w:rsidRDefault="005C1EE8" w:rsidP="00B163BD">
      <w:pPr>
        <w:widowControl/>
        <w:tabs>
          <w:tab w:val="left" w:pos="924"/>
        </w:tabs>
        <w:spacing w:line="233" w:lineRule="auto"/>
        <w:ind w:right="34"/>
        <w:rPr>
          <w:rFonts w:ascii="Symbol" w:hAnsi="Symbol"/>
          <w:b/>
          <w:sz w:val="28"/>
          <w:szCs w:val="28"/>
        </w:rPr>
      </w:pPr>
      <w:r w:rsidRPr="00F829C2">
        <w:rPr>
          <w:rFonts w:ascii="Arial" w:hAnsi="Arial"/>
          <w:b/>
          <w:sz w:val="28"/>
          <w:szCs w:val="28"/>
        </w:rPr>
        <w:t>What impact will the new planning provisions have on the resource and administrative costs of the responsible</w:t>
      </w:r>
      <w:r w:rsidRPr="00F829C2">
        <w:rPr>
          <w:rFonts w:ascii="Arial" w:hAnsi="Arial"/>
          <w:b/>
          <w:spacing w:val="-2"/>
          <w:sz w:val="28"/>
          <w:szCs w:val="28"/>
        </w:rPr>
        <w:t xml:space="preserve"> </w:t>
      </w:r>
      <w:r w:rsidRPr="00F829C2">
        <w:rPr>
          <w:rFonts w:ascii="Arial" w:hAnsi="Arial"/>
          <w:b/>
          <w:sz w:val="28"/>
          <w:szCs w:val="28"/>
        </w:rPr>
        <w:t>authority?</w:t>
      </w:r>
    </w:p>
    <w:p w14:paraId="75D0D107" w14:textId="5ACD2D09" w:rsidR="00583806" w:rsidRPr="00F829C2" w:rsidRDefault="00151D33" w:rsidP="00EF620C">
      <w:pPr>
        <w:widowControl/>
        <w:autoSpaceDE/>
        <w:autoSpaceDN/>
        <w:spacing w:before="240" w:after="160" w:line="259" w:lineRule="auto"/>
        <w:rPr>
          <w:rFonts w:ascii="Arial"/>
          <w:sz w:val="24"/>
          <w:szCs w:val="24"/>
        </w:rPr>
      </w:pPr>
      <w:bookmarkStart w:id="15" w:name="Where_you_may_inspect_this_amendment"/>
      <w:bookmarkStart w:id="16" w:name="[The_following_sections_of_the_Explanato"/>
      <w:bookmarkStart w:id="17" w:name="Submissions"/>
      <w:bookmarkStart w:id="18" w:name="Panel_hearing_dates"/>
      <w:bookmarkEnd w:id="15"/>
      <w:bookmarkEnd w:id="16"/>
      <w:bookmarkEnd w:id="17"/>
      <w:bookmarkEnd w:id="18"/>
      <w:r w:rsidRPr="00F829C2">
        <w:rPr>
          <w:rFonts w:ascii="Arial" w:hAnsi="Arial" w:cs="Arial"/>
          <w:sz w:val="24"/>
          <w:szCs w:val="24"/>
        </w:rPr>
        <w:t xml:space="preserve">The amendment is not expected to have </w:t>
      </w:r>
      <w:r w:rsidRPr="00EF620C">
        <w:rPr>
          <w:rFonts w:ascii="Arial" w:hAnsi="Arial"/>
          <w:sz w:val="24"/>
          <w:szCs w:val="24"/>
        </w:rPr>
        <w:t>an</w:t>
      </w:r>
      <w:r w:rsidRPr="00F829C2">
        <w:rPr>
          <w:rFonts w:ascii="Arial" w:hAnsi="Arial" w:cs="Arial"/>
          <w:sz w:val="24"/>
          <w:szCs w:val="24"/>
        </w:rPr>
        <w:t xml:space="preserve"> impact on the resource and administrative costs of the responsible authority</w:t>
      </w:r>
      <w:r w:rsidRPr="00F829C2">
        <w:rPr>
          <w:rFonts w:ascii="Arial"/>
          <w:sz w:val="24"/>
          <w:szCs w:val="24"/>
        </w:rPr>
        <w:t>.</w:t>
      </w:r>
    </w:p>
    <w:sectPr w:rsidR="00583806" w:rsidRPr="00F829C2">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0D3CE" w14:textId="77777777" w:rsidR="006B721C" w:rsidRDefault="006B721C" w:rsidP="00D95794">
      <w:r>
        <w:separator/>
      </w:r>
    </w:p>
  </w:endnote>
  <w:endnote w:type="continuationSeparator" w:id="0">
    <w:p w14:paraId="23D2AE45" w14:textId="77777777" w:rsidR="006B721C" w:rsidRDefault="006B721C" w:rsidP="00D95794">
      <w:r>
        <w:continuationSeparator/>
      </w:r>
    </w:p>
  </w:endnote>
  <w:endnote w:type="continuationNotice" w:id="1">
    <w:p w14:paraId="5BC2DBD2" w14:textId="77777777" w:rsidR="006B721C" w:rsidRDefault="006B7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0A585" w14:textId="23E9E153" w:rsidR="005C1EE8" w:rsidRDefault="005C1EE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74C9E" w14:textId="77777777" w:rsidR="006B721C" w:rsidRDefault="006B721C" w:rsidP="00D95794">
      <w:r>
        <w:separator/>
      </w:r>
    </w:p>
  </w:footnote>
  <w:footnote w:type="continuationSeparator" w:id="0">
    <w:p w14:paraId="50127A23" w14:textId="77777777" w:rsidR="006B721C" w:rsidRDefault="006B721C" w:rsidP="00D95794">
      <w:r>
        <w:continuationSeparator/>
      </w:r>
    </w:p>
  </w:footnote>
  <w:footnote w:type="continuationNotice" w:id="1">
    <w:p w14:paraId="28266347" w14:textId="77777777" w:rsidR="006B721C" w:rsidRDefault="006B72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487" w14:textId="53CA9077" w:rsidR="005C1EE8" w:rsidRDefault="005C1EE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704B"/>
    <w:multiLevelType w:val="hybridMultilevel"/>
    <w:tmpl w:val="547A24DA"/>
    <w:lvl w:ilvl="0" w:tplc="0B9807D2">
      <w:numFmt w:val="bullet"/>
      <w:lvlText w:val=""/>
      <w:lvlJc w:val="left"/>
      <w:pPr>
        <w:ind w:left="563" w:hanging="284"/>
      </w:pPr>
      <w:rPr>
        <w:rFonts w:ascii="Wingdings" w:eastAsia="Wingdings" w:hAnsi="Wingdings" w:cs="Wingdings" w:hint="default"/>
        <w:w w:val="100"/>
        <w:sz w:val="16"/>
        <w:szCs w:val="16"/>
        <w:lang w:val="en-AU" w:eastAsia="en-AU" w:bidi="en-AU"/>
      </w:rPr>
    </w:lvl>
    <w:lvl w:ilvl="1" w:tplc="5EDCBBF4">
      <w:numFmt w:val="bullet"/>
      <w:lvlText w:val="•"/>
      <w:lvlJc w:val="left"/>
      <w:pPr>
        <w:ind w:left="1570" w:hanging="284"/>
      </w:pPr>
      <w:rPr>
        <w:rFonts w:hint="default"/>
        <w:lang w:val="en-AU" w:eastAsia="en-AU" w:bidi="en-AU"/>
      </w:rPr>
    </w:lvl>
    <w:lvl w:ilvl="2" w:tplc="17A8E410">
      <w:numFmt w:val="bullet"/>
      <w:lvlText w:val="•"/>
      <w:lvlJc w:val="left"/>
      <w:pPr>
        <w:ind w:left="2581" w:hanging="284"/>
      </w:pPr>
      <w:rPr>
        <w:rFonts w:hint="default"/>
        <w:lang w:val="en-AU" w:eastAsia="en-AU" w:bidi="en-AU"/>
      </w:rPr>
    </w:lvl>
    <w:lvl w:ilvl="3" w:tplc="E1DAF21A">
      <w:numFmt w:val="bullet"/>
      <w:lvlText w:val="•"/>
      <w:lvlJc w:val="left"/>
      <w:pPr>
        <w:ind w:left="3591" w:hanging="284"/>
      </w:pPr>
      <w:rPr>
        <w:rFonts w:hint="default"/>
        <w:lang w:val="en-AU" w:eastAsia="en-AU" w:bidi="en-AU"/>
      </w:rPr>
    </w:lvl>
    <w:lvl w:ilvl="4" w:tplc="60984210">
      <w:numFmt w:val="bullet"/>
      <w:lvlText w:val="•"/>
      <w:lvlJc w:val="left"/>
      <w:pPr>
        <w:ind w:left="4602" w:hanging="284"/>
      </w:pPr>
      <w:rPr>
        <w:rFonts w:hint="default"/>
        <w:lang w:val="en-AU" w:eastAsia="en-AU" w:bidi="en-AU"/>
      </w:rPr>
    </w:lvl>
    <w:lvl w:ilvl="5" w:tplc="C3BEEF64">
      <w:numFmt w:val="bullet"/>
      <w:lvlText w:val="•"/>
      <w:lvlJc w:val="left"/>
      <w:pPr>
        <w:ind w:left="5613" w:hanging="284"/>
      </w:pPr>
      <w:rPr>
        <w:rFonts w:hint="default"/>
        <w:lang w:val="en-AU" w:eastAsia="en-AU" w:bidi="en-AU"/>
      </w:rPr>
    </w:lvl>
    <w:lvl w:ilvl="6" w:tplc="8668BEF6">
      <w:numFmt w:val="bullet"/>
      <w:lvlText w:val="•"/>
      <w:lvlJc w:val="left"/>
      <w:pPr>
        <w:ind w:left="6623" w:hanging="284"/>
      </w:pPr>
      <w:rPr>
        <w:rFonts w:hint="default"/>
        <w:lang w:val="en-AU" w:eastAsia="en-AU" w:bidi="en-AU"/>
      </w:rPr>
    </w:lvl>
    <w:lvl w:ilvl="7" w:tplc="8ACADBDA">
      <w:numFmt w:val="bullet"/>
      <w:lvlText w:val="•"/>
      <w:lvlJc w:val="left"/>
      <w:pPr>
        <w:ind w:left="7634" w:hanging="284"/>
      </w:pPr>
      <w:rPr>
        <w:rFonts w:hint="default"/>
        <w:lang w:val="en-AU" w:eastAsia="en-AU" w:bidi="en-AU"/>
      </w:rPr>
    </w:lvl>
    <w:lvl w:ilvl="8" w:tplc="D1EE4428">
      <w:numFmt w:val="bullet"/>
      <w:lvlText w:val="•"/>
      <w:lvlJc w:val="left"/>
      <w:pPr>
        <w:ind w:left="8645" w:hanging="284"/>
      </w:pPr>
      <w:rPr>
        <w:rFonts w:hint="default"/>
        <w:lang w:val="en-AU" w:eastAsia="en-AU" w:bidi="en-AU"/>
      </w:rPr>
    </w:lvl>
  </w:abstractNum>
  <w:abstractNum w:abstractNumId="1" w15:restartNumberingAfterBreak="0">
    <w:nsid w:val="09AA6EA7"/>
    <w:multiLevelType w:val="hybridMultilevel"/>
    <w:tmpl w:val="970E8B14"/>
    <w:lvl w:ilvl="0" w:tplc="26EC7466">
      <w:start w:val="1"/>
      <w:numFmt w:val="bullet"/>
      <w:lvlText w:val=""/>
      <w:lvlJc w:val="left"/>
      <w:pPr>
        <w:ind w:left="923" w:hanging="284"/>
      </w:pPr>
      <w:rPr>
        <w:rFonts w:ascii="Symbol" w:hAnsi="Symbol" w:hint="default"/>
        <w:w w:val="99"/>
        <w:u w:val="none"/>
        <w:lang w:val="en-AU" w:eastAsia="en-AU" w:bidi="en-AU"/>
      </w:rPr>
    </w:lvl>
    <w:lvl w:ilvl="1" w:tplc="716A82F0">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B1E67CA4">
      <w:numFmt w:val="bullet"/>
      <w:lvlText w:val="•"/>
      <w:lvlJc w:val="left"/>
      <w:pPr>
        <w:ind w:left="1360" w:hanging="209"/>
      </w:pPr>
      <w:rPr>
        <w:rFonts w:hint="default"/>
        <w:lang w:val="en-AU" w:eastAsia="en-AU" w:bidi="en-AU"/>
      </w:rPr>
    </w:lvl>
    <w:lvl w:ilvl="3" w:tplc="0086874E">
      <w:numFmt w:val="bullet"/>
      <w:lvlText w:val="•"/>
      <w:lvlJc w:val="left"/>
      <w:pPr>
        <w:ind w:left="2568" w:hanging="209"/>
      </w:pPr>
      <w:rPr>
        <w:rFonts w:hint="default"/>
        <w:lang w:val="en-AU" w:eastAsia="en-AU" w:bidi="en-AU"/>
      </w:rPr>
    </w:lvl>
    <w:lvl w:ilvl="4" w:tplc="2C5AFBA4">
      <w:numFmt w:val="bullet"/>
      <w:lvlText w:val="•"/>
      <w:lvlJc w:val="left"/>
      <w:pPr>
        <w:ind w:left="3776" w:hanging="209"/>
      </w:pPr>
      <w:rPr>
        <w:rFonts w:hint="default"/>
        <w:lang w:val="en-AU" w:eastAsia="en-AU" w:bidi="en-AU"/>
      </w:rPr>
    </w:lvl>
    <w:lvl w:ilvl="5" w:tplc="856C1A96">
      <w:numFmt w:val="bullet"/>
      <w:lvlText w:val="•"/>
      <w:lvlJc w:val="left"/>
      <w:pPr>
        <w:ind w:left="4984" w:hanging="209"/>
      </w:pPr>
      <w:rPr>
        <w:rFonts w:hint="default"/>
        <w:lang w:val="en-AU" w:eastAsia="en-AU" w:bidi="en-AU"/>
      </w:rPr>
    </w:lvl>
    <w:lvl w:ilvl="6" w:tplc="69B6CABA">
      <w:numFmt w:val="bullet"/>
      <w:lvlText w:val="•"/>
      <w:lvlJc w:val="left"/>
      <w:pPr>
        <w:ind w:left="6193" w:hanging="209"/>
      </w:pPr>
      <w:rPr>
        <w:rFonts w:hint="default"/>
        <w:lang w:val="en-AU" w:eastAsia="en-AU" w:bidi="en-AU"/>
      </w:rPr>
    </w:lvl>
    <w:lvl w:ilvl="7" w:tplc="C9A8A5EA">
      <w:numFmt w:val="bullet"/>
      <w:lvlText w:val="•"/>
      <w:lvlJc w:val="left"/>
      <w:pPr>
        <w:ind w:left="7401" w:hanging="209"/>
      </w:pPr>
      <w:rPr>
        <w:rFonts w:hint="default"/>
        <w:lang w:val="en-AU" w:eastAsia="en-AU" w:bidi="en-AU"/>
      </w:rPr>
    </w:lvl>
    <w:lvl w:ilvl="8" w:tplc="AB6CC560">
      <w:numFmt w:val="bullet"/>
      <w:lvlText w:val="•"/>
      <w:lvlJc w:val="left"/>
      <w:pPr>
        <w:ind w:left="8609" w:hanging="209"/>
      </w:pPr>
      <w:rPr>
        <w:rFonts w:hint="default"/>
        <w:lang w:val="en-AU" w:eastAsia="en-AU" w:bidi="en-AU"/>
      </w:rPr>
    </w:lvl>
  </w:abstractNum>
  <w:abstractNum w:abstractNumId="2" w15:restartNumberingAfterBreak="0">
    <w:nsid w:val="0BFC7A1D"/>
    <w:multiLevelType w:val="hybridMultilevel"/>
    <w:tmpl w:val="0D666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0025B2"/>
    <w:multiLevelType w:val="hybridMultilevel"/>
    <w:tmpl w:val="C3D660EC"/>
    <w:lvl w:ilvl="0" w:tplc="D91A7D08">
      <w:start w:val="1"/>
      <w:numFmt w:val="bullet"/>
      <w:pStyle w:val="Bullet1"/>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38A4F2D"/>
    <w:multiLevelType w:val="hybridMultilevel"/>
    <w:tmpl w:val="6368EA34"/>
    <w:lvl w:ilvl="0" w:tplc="0C090001">
      <w:start w:val="1"/>
      <w:numFmt w:val="bullet"/>
      <w:lvlText w:val=""/>
      <w:lvlJc w:val="left"/>
      <w:pPr>
        <w:ind w:left="923" w:hanging="284"/>
      </w:pPr>
      <w:rPr>
        <w:rFonts w:ascii="Symbol" w:hAnsi="Symbol" w:hint="default"/>
        <w:w w:val="99"/>
        <w:u w:val="singl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6" w15:restartNumberingAfterBreak="0">
    <w:nsid w:val="14B235EB"/>
    <w:multiLevelType w:val="multilevel"/>
    <w:tmpl w:val="5BAE82D4"/>
    <w:lvl w:ilvl="0">
      <w:start w:val="1"/>
      <w:numFmt w:val="decimal"/>
      <w:lvlText w:val="%1."/>
      <w:lvlJc w:val="left"/>
      <w:pPr>
        <w:tabs>
          <w:tab w:val="num" w:pos="567"/>
        </w:tabs>
        <w:ind w:left="567" w:hanging="567"/>
      </w:pPr>
      <w:rPr>
        <w:rFonts w:hint="default"/>
        <w:b w:val="0"/>
        <w:i w:val="0"/>
        <w:sz w:val="20"/>
        <w:szCs w:val="20"/>
      </w:rPr>
    </w:lvl>
    <w:lvl w:ilvl="1">
      <w:start w:val="1"/>
      <w:numFmt w:val="decimal"/>
      <w:lvlText w:val="%1.%2."/>
      <w:lvlJc w:val="left"/>
      <w:pPr>
        <w:tabs>
          <w:tab w:val="num" w:pos="1134"/>
        </w:tabs>
        <w:ind w:left="1134" w:hanging="567"/>
      </w:pPr>
      <w:rPr>
        <w:rFonts w:hint="default"/>
        <w:b w:val="0"/>
        <w:i w:val="0"/>
        <w:color w:val="000000"/>
      </w:rPr>
    </w:lvl>
    <w:lvl w:ilvl="2">
      <w:start w:val="1"/>
      <w:numFmt w:val="decimal"/>
      <w:lvlText w:val="%1.%2.%3."/>
      <w:lvlJc w:val="left"/>
      <w:pPr>
        <w:tabs>
          <w:tab w:val="num" w:pos="1985"/>
        </w:tabs>
        <w:ind w:left="1985" w:hanging="851"/>
      </w:pPr>
      <w:rPr>
        <w:rFonts w:hint="default"/>
        <w:b w:val="0"/>
        <w:i w: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8290DBD"/>
    <w:multiLevelType w:val="hybridMultilevel"/>
    <w:tmpl w:val="144AD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F17EDA"/>
    <w:multiLevelType w:val="hybridMultilevel"/>
    <w:tmpl w:val="85D6C36C"/>
    <w:lvl w:ilvl="0" w:tplc="96D03700">
      <w:start w:val="4"/>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D658E6"/>
    <w:multiLevelType w:val="hybridMultilevel"/>
    <w:tmpl w:val="9210E6B8"/>
    <w:lvl w:ilvl="0" w:tplc="E34A0CD4">
      <w:start w:val="1"/>
      <w:numFmt w:val="bullet"/>
      <w:lvlText w:val="o"/>
      <w:lvlJc w:val="left"/>
      <w:pPr>
        <w:ind w:left="923" w:hanging="284"/>
      </w:pPr>
      <w:rPr>
        <w:rFonts w:ascii="Courier New" w:hAnsi="Courier New" w:cs="Courier New" w:hint="default"/>
        <w:w w:val="99"/>
        <w:u w:val="non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10" w15:restartNumberingAfterBreak="0">
    <w:nsid w:val="2F725F34"/>
    <w:multiLevelType w:val="hybridMultilevel"/>
    <w:tmpl w:val="27B6DF5C"/>
    <w:lvl w:ilvl="0" w:tplc="5E7AEC4E">
      <w:start w:val="6"/>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46E2DD4"/>
    <w:multiLevelType w:val="hybridMultilevel"/>
    <w:tmpl w:val="7C7AF51A"/>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6D1F4C"/>
    <w:multiLevelType w:val="hybridMultilevel"/>
    <w:tmpl w:val="DE02AC36"/>
    <w:lvl w:ilvl="0" w:tplc="FFFFFFFF">
      <w:start w:val="1"/>
      <w:numFmt w:val="bullet"/>
      <w:lvlText w:val=""/>
      <w:lvlJc w:val="left"/>
      <w:pPr>
        <w:tabs>
          <w:tab w:val="num" w:pos="1527"/>
        </w:tabs>
        <w:ind w:left="1527" w:hanging="360"/>
      </w:pPr>
      <w:rPr>
        <w:rFonts w:ascii="Wingdings" w:hAnsi="Wingdings"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C52AAC"/>
    <w:multiLevelType w:val="hybridMultilevel"/>
    <w:tmpl w:val="C09A65D2"/>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0C090003">
      <w:start w:val="1"/>
      <w:numFmt w:val="bullet"/>
      <w:lvlText w:val="o"/>
      <w:lvlJc w:val="left"/>
      <w:pPr>
        <w:ind w:left="1360" w:hanging="360"/>
      </w:pPr>
      <w:rPr>
        <w:rFonts w:ascii="Courier New" w:hAnsi="Courier New" w:cs="Courier New" w:hint="default"/>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14" w15:restartNumberingAfterBreak="0">
    <w:nsid w:val="40E71D17"/>
    <w:multiLevelType w:val="hybridMultilevel"/>
    <w:tmpl w:val="88709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E36F54"/>
    <w:multiLevelType w:val="multilevel"/>
    <w:tmpl w:val="ED4E8388"/>
    <w:styleLink w:val="ETHOSBullets"/>
    <w:lvl w:ilvl="0">
      <w:start w:val="1"/>
      <w:numFmt w:val="bullet"/>
      <w:pStyle w:val="ListBullet"/>
      <w:lvlText w:val=""/>
      <w:lvlJc w:val="left"/>
      <w:pPr>
        <w:ind w:left="340" w:hanging="340"/>
      </w:pPr>
      <w:rPr>
        <w:rFonts w:ascii="Wingdings" w:hAnsi="Wingdings" w:hint="default"/>
        <w:color w:val="000000"/>
      </w:rPr>
    </w:lvl>
    <w:lvl w:ilvl="1">
      <w:start w:val="1"/>
      <w:numFmt w:val="bullet"/>
      <w:pStyle w:val="ListBullet2"/>
      <w:lvlText w:val="−"/>
      <w:lvlJc w:val="left"/>
      <w:pPr>
        <w:ind w:left="680" w:hanging="340"/>
      </w:pPr>
      <w:rPr>
        <w:rFonts w:hint="default"/>
        <w:color w:val="auto"/>
      </w:rPr>
    </w:lvl>
    <w:lvl w:ilvl="2">
      <w:start w:val="1"/>
      <w:numFmt w:val="bullet"/>
      <w:pStyle w:val="ListBullet3"/>
      <w:lvlText w:val="○"/>
      <w:lvlJc w:val="left"/>
      <w:pPr>
        <w:ind w:left="1020" w:hanging="340"/>
      </w:pPr>
      <w:rPr>
        <w:rFonts w:ascii="Arial" w:hAnsi="Arial" w:hint="default"/>
        <w:color w:val="000000"/>
      </w:rPr>
    </w:lvl>
    <w:lvl w:ilvl="3">
      <w:start w:val="1"/>
      <w:numFmt w:val="bullet"/>
      <w:pStyle w:val="ListBullet4"/>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16" w15:restartNumberingAfterBreak="0">
    <w:nsid w:val="465E4BD8"/>
    <w:multiLevelType w:val="hybridMultilevel"/>
    <w:tmpl w:val="BA780798"/>
    <w:lvl w:ilvl="0" w:tplc="BFCC6DF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D074664"/>
    <w:multiLevelType w:val="hybridMultilevel"/>
    <w:tmpl w:val="9D207DFA"/>
    <w:lvl w:ilvl="0" w:tplc="AE2EB36A">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74A6E89"/>
    <w:multiLevelType w:val="hybridMultilevel"/>
    <w:tmpl w:val="A562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9C4C41"/>
    <w:multiLevelType w:val="hybridMultilevel"/>
    <w:tmpl w:val="C03C5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476148E"/>
    <w:multiLevelType w:val="hybridMultilevel"/>
    <w:tmpl w:val="583A0D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C56410E"/>
    <w:multiLevelType w:val="hybridMultilevel"/>
    <w:tmpl w:val="E4B82454"/>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497ECC42">
      <w:start w:val="10"/>
      <w:numFmt w:val="bullet"/>
      <w:lvlText w:val="-"/>
      <w:lvlJc w:val="left"/>
      <w:pPr>
        <w:ind w:left="1209" w:hanging="209"/>
      </w:pPr>
      <w:rPr>
        <w:rFonts w:ascii="Calibri" w:eastAsia="Times New Roman" w:hAnsi="Calibri" w:cs="Calibri"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num w:numId="1" w16cid:durableId="1321543669">
    <w:abstractNumId w:val="1"/>
  </w:num>
  <w:num w:numId="2" w16cid:durableId="591475969">
    <w:abstractNumId w:val="0"/>
  </w:num>
  <w:num w:numId="3" w16cid:durableId="951739483">
    <w:abstractNumId w:val="12"/>
  </w:num>
  <w:num w:numId="4" w16cid:durableId="321859767">
    <w:abstractNumId w:val="12"/>
  </w:num>
  <w:num w:numId="5" w16cid:durableId="671220236">
    <w:abstractNumId w:val="18"/>
  </w:num>
  <w:num w:numId="6" w16cid:durableId="954629521">
    <w:abstractNumId w:val="5"/>
  </w:num>
  <w:num w:numId="7" w16cid:durableId="247539208">
    <w:abstractNumId w:val="21"/>
  </w:num>
  <w:num w:numId="8" w16cid:durableId="2129347613">
    <w:abstractNumId w:val="7"/>
  </w:num>
  <w:num w:numId="9" w16cid:durableId="1925987674">
    <w:abstractNumId w:val="13"/>
  </w:num>
  <w:num w:numId="10" w16cid:durableId="1275821005">
    <w:abstractNumId w:val="9"/>
  </w:num>
  <w:num w:numId="11" w16cid:durableId="1448230120">
    <w:abstractNumId w:val="20"/>
  </w:num>
  <w:num w:numId="12" w16cid:durableId="1367366289">
    <w:abstractNumId w:val="16"/>
  </w:num>
  <w:num w:numId="13" w16cid:durableId="1716932622">
    <w:abstractNumId w:val="15"/>
  </w:num>
  <w:num w:numId="14" w16cid:durableId="1087843583">
    <w:abstractNumId w:val="6"/>
  </w:num>
  <w:num w:numId="15" w16cid:durableId="156893315">
    <w:abstractNumId w:val="19"/>
  </w:num>
  <w:num w:numId="16" w16cid:durableId="785468982">
    <w:abstractNumId w:val="3"/>
  </w:num>
  <w:num w:numId="17" w16cid:durableId="278417465">
    <w:abstractNumId w:val="8"/>
  </w:num>
  <w:num w:numId="18" w16cid:durableId="789864413">
    <w:abstractNumId w:val="17"/>
  </w:num>
  <w:num w:numId="19" w16cid:durableId="2065832001">
    <w:abstractNumId w:val="10"/>
  </w:num>
  <w:num w:numId="20" w16cid:durableId="735475814">
    <w:abstractNumId w:val="11"/>
  </w:num>
  <w:num w:numId="21" w16cid:durableId="565536415">
    <w:abstractNumId w:val="2"/>
  </w:num>
  <w:num w:numId="22" w16cid:durableId="339896923">
    <w:abstractNumId w:val="15"/>
  </w:num>
  <w:num w:numId="23" w16cid:durableId="1607735476">
    <w:abstractNumId w:val="15"/>
  </w:num>
  <w:num w:numId="24" w16cid:durableId="1706827839">
    <w:abstractNumId w:val="15"/>
  </w:num>
  <w:num w:numId="25" w16cid:durableId="1985815088">
    <w:abstractNumId w:val="15"/>
  </w:num>
  <w:num w:numId="26" w16cid:durableId="2106801001">
    <w:abstractNumId w:val="15"/>
  </w:num>
  <w:num w:numId="27" w16cid:durableId="321354401">
    <w:abstractNumId w:val="4"/>
  </w:num>
  <w:num w:numId="28" w16cid:durableId="1050419279">
    <w:abstractNumId w:val="15"/>
  </w:num>
  <w:num w:numId="29" w16cid:durableId="1128627834">
    <w:abstractNumId w:val="15"/>
  </w:num>
  <w:num w:numId="30" w16cid:durableId="365720103">
    <w:abstractNumId w:val="15"/>
  </w:num>
  <w:num w:numId="31" w16cid:durableId="1976835123">
    <w:abstractNumId w:val="15"/>
  </w:num>
  <w:num w:numId="32" w16cid:durableId="9764905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EE8"/>
    <w:rsid w:val="00002074"/>
    <w:rsid w:val="00004516"/>
    <w:rsid w:val="00004707"/>
    <w:rsid w:val="00011772"/>
    <w:rsid w:val="00012A43"/>
    <w:rsid w:val="00015888"/>
    <w:rsid w:val="00017523"/>
    <w:rsid w:val="00017D79"/>
    <w:rsid w:val="00020EB7"/>
    <w:rsid w:val="0002193D"/>
    <w:rsid w:val="00023CFC"/>
    <w:rsid w:val="00026017"/>
    <w:rsid w:val="000304DF"/>
    <w:rsid w:val="0003273F"/>
    <w:rsid w:val="00032F86"/>
    <w:rsid w:val="0003555C"/>
    <w:rsid w:val="00035C01"/>
    <w:rsid w:val="000376F8"/>
    <w:rsid w:val="0004105B"/>
    <w:rsid w:val="000428D8"/>
    <w:rsid w:val="000445DF"/>
    <w:rsid w:val="000456A4"/>
    <w:rsid w:val="00045DBB"/>
    <w:rsid w:val="00046ACA"/>
    <w:rsid w:val="00051765"/>
    <w:rsid w:val="00051DE4"/>
    <w:rsid w:val="000522AD"/>
    <w:rsid w:val="0005299C"/>
    <w:rsid w:val="00052E23"/>
    <w:rsid w:val="00053BF6"/>
    <w:rsid w:val="000544AB"/>
    <w:rsid w:val="00055703"/>
    <w:rsid w:val="0005584D"/>
    <w:rsid w:val="00057425"/>
    <w:rsid w:val="00057849"/>
    <w:rsid w:val="00060D00"/>
    <w:rsid w:val="000611E7"/>
    <w:rsid w:val="000635ED"/>
    <w:rsid w:val="0006565B"/>
    <w:rsid w:val="00065F9A"/>
    <w:rsid w:val="000706CB"/>
    <w:rsid w:val="00071871"/>
    <w:rsid w:val="00073CDE"/>
    <w:rsid w:val="00073F43"/>
    <w:rsid w:val="00075C8A"/>
    <w:rsid w:val="0008009C"/>
    <w:rsid w:val="000807C6"/>
    <w:rsid w:val="000812E8"/>
    <w:rsid w:val="00081F7E"/>
    <w:rsid w:val="00083D98"/>
    <w:rsid w:val="00084E4B"/>
    <w:rsid w:val="0009014C"/>
    <w:rsid w:val="000915C0"/>
    <w:rsid w:val="0009389C"/>
    <w:rsid w:val="00094D85"/>
    <w:rsid w:val="000975AF"/>
    <w:rsid w:val="000A078C"/>
    <w:rsid w:val="000A2184"/>
    <w:rsid w:val="000A5047"/>
    <w:rsid w:val="000A516D"/>
    <w:rsid w:val="000A5ADA"/>
    <w:rsid w:val="000A6618"/>
    <w:rsid w:val="000B186F"/>
    <w:rsid w:val="000B2584"/>
    <w:rsid w:val="000B35AA"/>
    <w:rsid w:val="000B4A7A"/>
    <w:rsid w:val="000B66A2"/>
    <w:rsid w:val="000B66E7"/>
    <w:rsid w:val="000C15E2"/>
    <w:rsid w:val="000C453A"/>
    <w:rsid w:val="000C45B7"/>
    <w:rsid w:val="000C6C29"/>
    <w:rsid w:val="000C7D61"/>
    <w:rsid w:val="000D1204"/>
    <w:rsid w:val="000D1BA4"/>
    <w:rsid w:val="000E0F15"/>
    <w:rsid w:val="000E4B3D"/>
    <w:rsid w:val="000E5188"/>
    <w:rsid w:val="000E5A69"/>
    <w:rsid w:val="000E5CD1"/>
    <w:rsid w:val="000E66EB"/>
    <w:rsid w:val="000F066D"/>
    <w:rsid w:val="000F13C6"/>
    <w:rsid w:val="000F2FFA"/>
    <w:rsid w:val="000F5AE3"/>
    <w:rsid w:val="000F6634"/>
    <w:rsid w:val="000F6CA4"/>
    <w:rsid w:val="000F7B78"/>
    <w:rsid w:val="00102A1A"/>
    <w:rsid w:val="00103950"/>
    <w:rsid w:val="00103A5E"/>
    <w:rsid w:val="00110152"/>
    <w:rsid w:val="0011192A"/>
    <w:rsid w:val="00112227"/>
    <w:rsid w:val="001175A1"/>
    <w:rsid w:val="00131048"/>
    <w:rsid w:val="0013238A"/>
    <w:rsid w:val="001347EE"/>
    <w:rsid w:val="00134B35"/>
    <w:rsid w:val="001369DB"/>
    <w:rsid w:val="00137568"/>
    <w:rsid w:val="00142119"/>
    <w:rsid w:val="001429BB"/>
    <w:rsid w:val="0014321B"/>
    <w:rsid w:val="00143947"/>
    <w:rsid w:val="00144009"/>
    <w:rsid w:val="001448E8"/>
    <w:rsid w:val="00147EAF"/>
    <w:rsid w:val="00150B12"/>
    <w:rsid w:val="00151A1C"/>
    <w:rsid w:val="00151D33"/>
    <w:rsid w:val="001526F4"/>
    <w:rsid w:val="00161E3A"/>
    <w:rsid w:val="001659B2"/>
    <w:rsid w:val="00167180"/>
    <w:rsid w:val="00167AB1"/>
    <w:rsid w:val="0017049D"/>
    <w:rsid w:val="00171EC9"/>
    <w:rsid w:val="00174F57"/>
    <w:rsid w:val="00176B18"/>
    <w:rsid w:val="0018139C"/>
    <w:rsid w:val="00182716"/>
    <w:rsid w:val="00184C38"/>
    <w:rsid w:val="001956E7"/>
    <w:rsid w:val="00195BA7"/>
    <w:rsid w:val="00197044"/>
    <w:rsid w:val="001A0080"/>
    <w:rsid w:val="001A0149"/>
    <w:rsid w:val="001A1614"/>
    <w:rsid w:val="001A25D3"/>
    <w:rsid w:val="001A2E37"/>
    <w:rsid w:val="001A5CB6"/>
    <w:rsid w:val="001A63F3"/>
    <w:rsid w:val="001A68B4"/>
    <w:rsid w:val="001B0061"/>
    <w:rsid w:val="001B0815"/>
    <w:rsid w:val="001B252F"/>
    <w:rsid w:val="001B2640"/>
    <w:rsid w:val="001B5492"/>
    <w:rsid w:val="001B6847"/>
    <w:rsid w:val="001B6AE8"/>
    <w:rsid w:val="001C001C"/>
    <w:rsid w:val="001C066A"/>
    <w:rsid w:val="001C0AA0"/>
    <w:rsid w:val="001C1437"/>
    <w:rsid w:val="001C1D76"/>
    <w:rsid w:val="001C4BEF"/>
    <w:rsid w:val="001C54E9"/>
    <w:rsid w:val="001C7734"/>
    <w:rsid w:val="001D025F"/>
    <w:rsid w:val="001D08E6"/>
    <w:rsid w:val="001D3876"/>
    <w:rsid w:val="001E02DF"/>
    <w:rsid w:val="001E52F2"/>
    <w:rsid w:val="001E6EF4"/>
    <w:rsid w:val="001F01D6"/>
    <w:rsid w:val="001F0373"/>
    <w:rsid w:val="001F09E2"/>
    <w:rsid w:val="001F0F6B"/>
    <w:rsid w:val="001F27E7"/>
    <w:rsid w:val="001F4686"/>
    <w:rsid w:val="001F57A9"/>
    <w:rsid w:val="001F6E49"/>
    <w:rsid w:val="0020112B"/>
    <w:rsid w:val="00202817"/>
    <w:rsid w:val="0020394F"/>
    <w:rsid w:val="00206775"/>
    <w:rsid w:val="0020679C"/>
    <w:rsid w:val="00211023"/>
    <w:rsid w:val="0021214B"/>
    <w:rsid w:val="0021299C"/>
    <w:rsid w:val="0021512F"/>
    <w:rsid w:val="002155BA"/>
    <w:rsid w:val="00215D3B"/>
    <w:rsid w:val="00216DE8"/>
    <w:rsid w:val="00221C5F"/>
    <w:rsid w:val="00223512"/>
    <w:rsid w:val="00223CAC"/>
    <w:rsid w:val="00224FF3"/>
    <w:rsid w:val="00227639"/>
    <w:rsid w:val="00227DC3"/>
    <w:rsid w:val="00232466"/>
    <w:rsid w:val="00233D44"/>
    <w:rsid w:val="00234925"/>
    <w:rsid w:val="00234983"/>
    <w:rsid w:val="00241256"/>
    <w:rsid w:val="00241BE1"/>
    <w:rsid w:val="00241D2B"/>
    <w:rsid w:val="00244DCC"/>
    <w:rsid w:val="002457D3"/>
    <w:rsid w:val="0024587E"/>
    <w:rsid w:val="00245EE6"/>
    <w:rsid w:val="0024648B"/>
    <w:rsid w:val="002466FD"/>
    <w:rsid w:val="00247AE2"/>
    <w:rsid w:val="0025100B"/>
    <w:rsid w:val="00251ECC"/>
    <w:rsid w:val="00252621"/>
    <w:rsid w:val="0025742E"/>
    <w:rsid w:val="00262489"/>
    <w:rsid w:val="002626EF"/>
    <w:rsid w:val="002641B8"/>
    <w:rsid w:val="00264A11"/>
    <w:rsid w:val="00265D4B"/>
    <w:rsid w:val="0027213E"/>
    <w:rsid w:val="00272585"/>
    <w:rsid w:val="00274FB5"/>
    <w:rsid w:val="00276F01"/>
    <w:rsid w:val="00277EE2"/>
    <w:rsid w:val="00277F44"/>
    <w:rsid w:val="00282285"/>
    <w:rsid w:val="002843EB"/>
    <w:rsid w:val="0028657C"/>
    <w:rsid w:val="00287C3D"/>
    <w:rsid w:val="0029136B"/>
    <w:rsid w:val="0029233D"/>
    <w:rsid w:val="00293DD7"/>
    <w:rsid w:val="002A1A72"/>
    <w:rsid w:val="002A1FEA"/>
    <w:rsid w:val="002A6931"/>
    <w:rsid w:val="002A7735"/>
    <w:rsid w:val="002A7FC0"/>
    <w:rsid w:val="002B103C"/>
    <w:rsid w:val="002B2FC6"/>
    <w:rsid w:val="002B393B"/>
    <w:rsid w:val="002B3D43"/>
    <w:rsid w:val="002B3EC0"/>
    <w:rsid w:val="002B4D2B"/>
    <w:rsid w:val="002B5217"/>
    <w:rsid w:val="002B5544"/>
    <w:rsid w:val="002B7ED0"/>
    <w:rsid w:val="002C0215"/>
    <w:rsid w:val="002C1B6D"/>
    <w:rsid w:val="002C2DBE"/>
    <w:rsid w:val="002C5606"/>
    <w:rsid w:val="002C653B"/>
    <w:rsid w:val="002C71D0"/>
    <w:rsid w:val="002C7EE1"/>
    <w:rsid w:val="002C7FA2"/>
    <w:rsid w:val="002D0807"/>
    <w:rsid w:val="002D09A8"/>
    <w:rsid w:val="002D3AFB"/>
    <w:rsid w:val="002D4FA6"/>
    <w:rsid w:val="002D5FA3"/>
    <w:rsid w:val="002E1E00"/>
    <w:rsid w:val="002E2409"/>
    <w:rsid w:val="002E2DB0"/>
    <w:rsid w:val="002E5314"/>
    <w:rsid w:val="002E6764"/>
    <w:rsid w:val="002F52A7"/>
    <w:rsid w:val="002F72C9"/>
    <w:rsid w:val="002F7479"/>
    <w:rsid w:val="00300054"/>
    <w:rsid w:val="00302629"/>
    <w:rsid w:val="00307AEC"/>
    <w:rsid w:val="00310277"/>
    <w:rsid w:val="003106F8"/>
    <w:rsid w:val="0031102B"/>
    <w:rsid w:val="003119EA"/>
    <w:rsid w:val="00312A3B"/>
    <w:rsid w:val="0031705F"/>
    <w:rsid w:val="00320567"/>
    <w:rsid w:val="00321F1C"/>
    <w:rsid w:val="00322405"/>
    <w:rsid w:val="00322E5C"/>
    <w:rsid w:val="003230B6"/>
    <w:rsid w:val="003238D6"/>
    <w:rsid w:val="003317AE"/>
    <w:rsid w:val="00332855"/>
    <w:rsid w:val="00336884"/>
    <w:rsid w:val="00337DE7"/>
    <w:rsid w:val="00340110"/>
    <w:rsid w:val="00340703"/>
    <w:rsid w:val="003423E8"/>
    <w:rsid w:val="003424D0"/>
    <w:rsid w:val="00343A65"/>
    <w:rsid w:val="003446EC"/>
    <w:rsid w:val="00344AB1"/>
    <w:rsid w:val="003459F8"/>
    <w:rsid w:val="00345B37"/>
    <w:rsid w:val="003519B9"/>
    <w:rsid w:val="003535B3"/>
    <w:rsid w:val="00354077"/>
    <w:rsid w:val="003545A5"/>
    <w:rsid w:val="00356B77"/>
    <w:rsid w:val="00360D0F"/>
    <w:rsid w:val="00361AB6"/>
    <w:rsid w:val="00364A72"/>
    <w:rsid w:val="00364AE1"/>
    <w:rsid w:val="0036777A"/>
    <w:rsid w:val="00370EC5"/>
    <w:rsid w:val="00372623"/>
    <w:rsid w:val="00372F1C"/>
    <w:rsid w:val="00377D16"/>
    <w:rsid w:val="00382F92"/>
    <w:rsid w:val="0038411B"/>
    <w:rsid w:val="00392181"/>
    <w:rsid w:val="003925AD"/>
    <w:rsid w:val="00392BC0"/>
    <w:rsid w:val="0039403A"/>
    <w:rsid w:val="00394A09"/>
    <w:rsid w:val="00395885"/>
    <w:rsid w:val="00395B44"/>
    <w:rsid w:val="003A005A"/>
    <w:rsid w:val="003A2195"/>
    <w:rsid w:val="003A29B9"/>
    <w:rsid w:val="003A2E1C"/>
    <w:rsid w:val="003A2F4C"/>
    <w:rsid w:val="003A4009"/>
    <w:rsid w:val="003A5E7F"/>
    <w:rsid w:val="003A630F"/>
    <w:rsid w:val="003A6F78"/>
    <w:rsid w:val="003A763E"/>
    <w:rsid w:val="003A7EBF"/>
    <w:rsid w:val="003B1D43"/>
    <w:rsid w:val="003B3DB6"/>
    <w:rsid w:val="003B5F64"/>
    <w:rsid w:val="003B64CE"/>
    <w:rsid w:val="003B77DE"/>
    <w:rsid w:val="003C5A35"/>
    <w:rsid w:val="003C6888"/>
    <w:rsid w:val="003C7329"/>
    <w:rsid w:val="003C767E"/>
    <w:rsid w:val="003D1C22"/>
    <w:rsid w:val="003D4D2F"/>
    <w:rsid w:val="003D726F"/>
    <w:rsid w:val="003E0309"/>
    <w:rsid w:val="003E03FB"/>
    <w:rsid w:val="003E0525"/>
    <w:rsid w:val="003E35C8"/>
    <w:rsid w:val="003E4128"/>
    <w:rsid w:val="003E44C4"/>
    <w:rsid w:val="003E738C"/>
    <w:rsid w:val="003F0A2A"/>
    <w:rsid w:val="003F14B3"/>
    <w:rsid w:val="003F3022"/>
    <w:rsid w:val="003F525F"/>
    <w:rsid w:val="003F61E6"/>
    <w:rsid w:val="00400CB6"/>
    <w:rsid w:val="00402D1B"/>
    <w:rsid w:val="00404106"/>
    <w:rsid w:val="004052C8"/>
    <w:rsid w:val="00410605"/>
    <w:rsid w:val="0041083F"/>
    <w:rsid w:val="00410F8D"/>
    <w:rsid w:val="00412428"/>
    <w:rsid w:val="00413D44"/>
    <w:rsid w:val="0041409C"/>
    <w:rsid w:val="0041543E"/>
    <w:rsid w:val="00415C20"/>
    <w:rsid w:val="00416773"/>
    <w:rsid w:val="0041795E"/>
    <w:rsid w:val="0042156F"/>
    <w:rsid w:val="0042225D"/>
    <w:rsid w:val="004241A7"/>
    <w:rsid w:val="004241F6"/>
    <w:rsid w:val="00433587"/>
    <w:rsid w:val="00434C2D"/>
    <w:rsid w:val="00437344"/>
    <w:rsid w:val="0044128D"/>
    <w:rsid w:val="0044224A"/>
    <w:rsid w:val="0044737F"/>
    <w:rsid w:val="00450C33"/>
    <w:rsid w:val="00452C0D"/>
    <w:rsid w:val="004538A3"/>
    <w:rsid w:val="00457E13"/>
    <w:rsid w:val="00461247"/>
    <w:rsid w:val="00461F1E"/>
    <w:rsid w:val="004626FB"/>
    <w:rsid w:val="00464A5C"/>
    <w:rsid w:val="004660B4"/>
    <w:rsid w:val="00472ED0"/>
    <w:rsid w:val="00473F85"/>
    <w:rsid w:val="00475A64"/>
    <w:rsid w:val="00480438"/>
    <w:rsid w:val="00481D45"/>
    <w:rsid w:val="00484080"/>
    <w:rsid w:val="00486835"/>
    <w:rsid w:val="004907B4"/>
    <w:rsid w:val="0049089C"/>
    <w:rsid w:val="0049243D"/>
    <w:rsid w:val="0049274C"/>
    <w:rsid w:val="004949B6"/>
    <w:rsid w:val="00496875"/>
    <w:rsid w:val="0049790A"/>
    <w:rsid w:val="00497946"/>
    <w:rsid w:val="00497CBA"/>
    <w:rsid w:val="004A195B"/>
    <w:rsid w:val="004A1B9B"/>
    <w:rsid w:val="004A23AC"/>
    <w:rsid w:val="004A2BFD"/>
    <w:rsid w:val="004A51E8"/>
    <w:rsid w:val="004A52EA"/>
    <w:rsid w:val="004A7940"/>
    <w:rsid w:val="004A795B"/>
    <w:rsid w:val="004B3208"/>
    <w:rsid w:val="004B7D82"/>
    <w:rsid w:val="004C1DF8"/>
    <w:rsid w:val="004C224F"/>
    <w:rsid w:val="004C2274"/>
    <w:rsid w:val="004C2B4C"/>
    <w:rsid w:val="004C622A"/>
    <w:rsid w:val="004C7E41"/>
    <w:rsid w:val="004D033D"/>
    <w:rsid w:val="004D03DD"/>
    <w:rsid w:val="004D6AE6"/>
    <w:rsid w:val="004D7CB0"/>
    <w:rsid w:val="004E1D7E"/>
    <w:rsid w:val="004E307A"/>
    <w:rsid w:val="004E5FA3"/>
    <w:rsid w:val="004F29D5"/>
    <w:rsid w:val="004F2D3C"/>
    <w:rsid w:val="004F34DA"/>
    <w:rsid w:val="004F3E5E"/>
    <w:rsid w:val="004F4EDC"/>
    <w:rsid w:val="004F6B74"/>
    <w:rsid w:val="00500262"/>
    <w:rsid w:val="0050361A"/>
    <w:rsid w:val="005044FB"/>
    <w:rsid w:val="00505E86"/>
    <w:rsid w:val="005069A2"/>
    <w:rsid w:val="00511D83"/>
    <w:rsid w:val="005124A9"/>
    <w:rsid w:val="00514676"/>
    <w:rsid w:val="00515F20"/>
    <w:rsid w:val="00516E69"/>
    <w:rsid w:val="00520F86"/>
    <w:rsid w:val="0052589B"/>
    <w:rsid w:val="00527DD4"/>
    <w:rsid w:val="005321F7"/>
    <w:rsid w:val="005369E4"/>
    <w:rsid w:val="00537DE1"/>
    <w:rsid w:val="00541820"/>
    <w:rsid w:val="00541882"/>
    <w:rsid w:val="00545679"/>
    <w:rsid w:val="00545BCE"/>
    <w:rsid w:val="00550020"/>
    <w:rsid w:val="00552F63"/>
    <w:rsid w:val="00554325"/>
    <w:rsid w:val="0055578E"/>
    <w:rsid w:val="00556EED"/>
    <w:rsid w:val="0055751D"/>
    <w:rsid w:val="005610F5"/>
    <w:rsid w:val="00561412"/>
    <w:rsid w:val="00563B40"/>
    <w:rsid w:val="0056449F"/>
    <w:rsid w:val="00564BEE"/>
    <w:rsid w:val="00565601"/>
    <w:rsid w:val="00566107"/>
    <w:rsid w:val="00571132"/>
    <w:rsid w:val="00571502"/>
    <w:rsid w:val="0057159B"/>
    <w:rsid w:val="00571AA1"/>
    <w:rsid w:val="00572A67"/>
    <w:rsid w:val="00573523"/>
    <w:rsid w:val="00574009"/>
    <w:rsid w:val="005744ED"/>
    <w:rsid w:val="00576F0F"/>
    <w:rsid w:val="005812EB"/>
    <w:rsid w:val="00583806"/>
    <w:rsid w:val="00585DDE"/>
    <w:rsid w:val="005864C3"/>
    <w:rsid w:val="00593385"/>
    <w:rsid w:val="005933AD"/>
    <w:rsid w:val="0059368C"/>
    <w:rsid w:val="005A2161"/>
    <w:rsid w:val="005A267D"/>
    <w:rsid w:val="005A69BE"/>
    <w:rsid w:val="005A7E3C"/>
    <w:rsid w:val="005B06CC"/>
    <w:rsid w:val="005B314F"/>
    <w:rsid w:val="005B325D"/>
    <w:rsid w:val="005B3E62"/>
    <w:rsid w:val="005B5AD6"/>
    <w:rsid w:val="005B5ED0"/>
    <w:rsid w:val="005B6436"/>
    <w:rsid w:val="005B7CF7"/>
    <w:rsid w:val="005C070D"/>
    <w:rsid w:val="005C1371"/>
    <w:rsid w:val="005C1EE8"/>
    <w:rsid w:val="005C24BB"/>
    <w:rsid w:val="005C5B2A"/>
    <w:rsid w:val="005C6396"/>
    <w:rsid w:val="005C7B79"/>
    <w:rsid w:val="005D28DB"/>
    <w:rsid w:val="005D2DC7"/>
    <w:rsid w:val="005D3C3F"/>
    <w:rsid w:val="005D44F0"/>
    <w:rsid w:val="005D69CF"/>
    <w:rsid w:val="005E1778"/>
    <w:rsid w:val="005E1DB7"/>
    <w:rsid w:val="005E2525"/>
    <w:rsid w:val="005E2557"/>
    <w:rsid w:val="005E48E5"/>
    <w:rsid w:val="005E6D88"/>
    <w:rsid w:val="005F0B08"/>
    <w:rsid w:val="005F654C"/>
    <w:rsid w:val="005F65D4"/>
    <w:rsid w:val="005F6832"/>
    <w:rsid w:val="005F79D3"/>
    <w:rsid w:val="0060089B"/>
    <w:rsid w:val="0060132A"/>
    <w:rsid w:val="006024CC"/>
    <w:rsid w:val="006040F5"/>
    <w:rsid w:val="00605E74"/>
    <w:rsid w:val="0060646E"/>
    <w:rsid w:val="006067E8"/>
    <w:rsid w:val="006103FC"/>
    <w:rsid w:val="006117A4"/>
    <w:rsid w:val="00612041"/>
    <w:rsid w:val="0061231B"/>
    <w:rsid w:val="00614D3B"/>
    <w:rsid w:val="00616729"/>
    <w:rsid w:val="006177B8"/>
    <w:rsid w:val="00617C28"/>
    <w:rsid w:val="00620217"/>
    <w:rsid w:val="00620F1C"/>
    <w:rsid w:val="00621378"/>
    <w:rsid w:val="00621929"/>
    <w:rsid w:val="00621C09"/>
    <w:rsid w:val="00622CC9"/>
    <w:rsid w:val="006245CA"/>
    <w:rsid w:val="00624C8C"/>
    <w:rsid w:val="006266EC"/>
    <w:rsid w:val="00630F19"/>
    <w:rsid w:val="00631220"/>
    <w:rsid w:val="00631386"/>
    <w:rsid w:val="00632A26"/>
    <w:rsid w:val="006353D6"/>
    <w:rsid w:val="00640522"/>
    <w:rsid w:val="0064113C"/>
    <w:rsid w:val="006418FE"/>
    <w:rsid w:val="006434C2"/>
    <w:rsid w:val="00645374"/>
    <w:rsid w:val="006457B0"/>
    <w:rsid w:val="00645FB3"/>
    <w:rsid w:val="0064632B"/>
    <w:rsid w:val="00647124"/>
    <w:rsid w:val="00647396"/>
    <w:rsid w:val="00650C6B"/>
    <w:rsid w:val="0065190D"/>
    <w:rsid w:val="006519C8"/>
    <w:rsid w:val="00652A07"/>
    <w:rsid w:val="00653B2F"/>
    <w:rsid w:val="006551E6"/>
    <w:rsid w:val="00657275"/>
    <w:rsid w:val="006606B3"/>
    <w:rsid w:val="00660F94"/>
    <w:rsid w:val="00662841"/>
    <w:rsid w:val="0066287F"/>
    <w:rsid w:val="00664486"/>
    <w:rsid w:val="006663A8"/>
    <w:rsid w:val="00667BE7"/>
    <w:rsid w:val="006701CB"/>
    <w:rsid w:val="00670CA7"/>
    <w:rsid w:val="00671048"/>
    <w:rsid w:val="00671AB7"/>
    <w:rsid w:val="00672EFA"/>
    <w:rsid w:val="006749A7"/>
    <w:rsid w:val="006755CD"/>
    <w:rsid w:val="00681D9D"/>
    <w:rsid w:val="006828F4"/>
    <w:rsid w:val="00682B5E"/>
    <w:rsid w:val="00693CE5"/>
    <w:rsid w:val="00695311"/>
    <w:rsid w:val="00695A72"/>
    <w:rsid w:val="006A11BA"/>
    <w:rsid w:val="006A11C0"/>
    <w:rsid w:val="006A1410"/>
    <w:rsid w:val="006A2C4E"/>
    <w:rsid w:val="006A5F6C"/>
    <w:rsid w:val="006A7066"/>
    <w:rsid w:val="006B04BE"/>
    <w:rsid w:val="006B22C4"/>
    <w:rsid w:val="006B2C21"/>
    <w:rsid w:val="006B4A17"/>
    <w:rsid w:val="006B658A"/>
    <w:rsid w:val="006B68F6"/>
    <w:rsid w:val="006B6B8B"/>
    <w:rsid w:val="006B6EB8"/>
    <w:rsid w:val="006B721C"/>
    <w:rsid w:val="006B747D"/>
    <w:rsid w:val="006C1065"/>
    <w:rsid w:val="006C2B42"/>
    <w:rsid w:val="006C3E8E"/>
    <w:rsid w:val="006C76B0"/>
    <w:rsid w:val="006D0AAD"/>
    <w:rsid w:val="006D3988"/>
    <w:rsid w:val="006D48D8"/>
    <w:rsid w:val="006D4BDF"/>
    <w:rsid w:val="006D609B"/>
    <w:rsid w:val="006D6153"/>
    <w:rsid w:val="006D74D9"/>
    <w:rsid w:val="006E3239"/>
    <w:rsid w:val="006E3252"/>
    <w:rsid w:val="006E3850"/>
    <w:rsid w:val="006E6440"/>
    <w:rsid w:val="006E748C"/>
    <w:rsid w:val="006F100F"/>
    <w:rsid w:val="006F2293"/>
    <w:rsid w:val="006F5093"/>
    <w:rsid w:val="006F516A"/>
    <w:rsid w:val="006F5A64"/>
    <w:rsid w:val="006F6692"/>
    <w:rsid w:val="006F6EBB"/>
    <w:rsid w:val="006F7CDE"/>
    <w:rsid w:val="00701C4E"/>
    <w:rsid w:val="007022D1"/>
    <w:rsid w:val="00702630"/>
    <w:rsid w:val="00705BC5"/>
    <w:rsid w:val="00712A6F"/>
    <w:rsid w:val="007166C2"/>
    <w:rsid w:val="0071694C"/>
    <w:rsid w:val="00716F66"/>
    <w:rsid w:val="00722021"/>
    <w:rsid w:val="00723E0B"/>
    <w:rsid w:val="007254D0"/>
    <w:rsid w:val="007274B7"/>
    <w:rsid w:val="00727756"/>
    <w:rsid w:val="00731E3B"/>
    <w:rsid w:val="00732876"/>
    <w:rsid w:val="00733B78"/>
    <w:rsid w:val="007340A5"/>
    <w:rsid w:val="00736643"/>
    <w:rsid w:val="00736833"/>
    <w:rsid w:val="00737366"/>
    <w:rsid w:val="00740222"/>
    <w:rsid w:val="007406B8"/>
    <w:rsid w:val="00740BF7"/>
    <w:rsid w:val="00740FF8"/>
    <w:rsid w:val="00741B3A"/>
    <w:rsid w:val="0074239A"/>
    <w:rsid w:val="00742C24"/>
    <w:rsid w:val="0074451E"/>
    <w:rsid w:val="00744E83"/>
    <w:rsid w:val="00746A69"/>
    <w:rsid w:val="007503C2"/>
    <w:rsid w:val="007517FA"/>
    <w:rsid w:val="00751FF6"/>
    <w:rsid w:val="007547F8"/>
    <w:rsid w:val="00756528"/>
    <w:rsid w:val="00756740"/>
    <w:rsid w:val="00757025"/>
    <w:rsid w:val="00761EB1"/>
    <w:rsid w:val="00762E10"/>
    <w:rsid w:val="00764C49"/>
    <w:rsid w:val="00764E87"/>
    <w:rsid w:val="00766803"/>
    <w:rsid w:val="007679A4"/>
    <w:rsid w:val="007700E2"/>
    <w:rsid w:val="0077055E"/>
    <w:rsid w:val="00770611"/>
    <w:rsid w:val="00770638"/>
    <w:rsid w:val="0077101E"/>
    <w:rsid w:val="00771548"/>
    <w:rsid w:val="0077376A"/>
    <w:rsid w:val="00774BA0"/>
    <w:rsid w:val="00776EF7"/>
    <w:rsid w:val="00777DAB"/>
    <w:rsid w:val="00777FD2"/>
    <w:rsid w:val="00781E74"/>
    <w:rsid w:val="007845E2"/>
    <w:rsid w:val="0078476D"/>
    <w:rsid w:val="00784E69"/>
    <w:rsid w:val="00784EC5"/>
    <w:rsid w:val="00790332"/>
    <w:rsid w:val="007922C8"/>
    <w:rsid w:val="007932AD"/>
    <w:rsid w:val="00795080"/>
    <w:rsid w:val="00795187"/>
    <w:rsid w:val="00795280"/>
    <w:rsid w:val="00796787"/>
    <w:rsid w:val="007970E2"/>
    <w:rsid w:val="0079712B"/>
    <w:rsid w:val="007A09FB"/>
    <w:rsid w:val="007A1D81"/>
    <w:rsid w:val="007A2989"/>
    <w:rsid w:val="007A3106"/>
    <w:rsid w:val="007A360C"/>
    <w:rsid w:val="007A379A"/>
    <w:rsid w:val="007A43E5"/>
    <w:rsid w:val="007A723D"/>
    <w:rsid w:val="007B0166"/>
    <w:rsid w:val="007B08FF"/>
    <w:rsid w:val="007B1B00"/>
    <w:rsid w:val="007B340F"/>
    <w:rsid w:val="007B3949"/>
    <w:rsid w:val="007B4C2F"/>
    <w:rsid w:val="007B62CC"/>
    <w:rsid w:val="007B71B9"/>
    <w:rsid w:val="007B74AF"/>
    <w:rsid w:val="007B76EB"/>
    <w:rsid w:val="007C2A1A"/>
    <w:rsid w:val="007C5254"/>
    <w:rsid w:val="007C685A"/>
    <w:rsid w:val="007C7D02"/>
    <w:rsid w:val="007D006F"/>
    <w:rsid w:val="007D02C9"/>
    <w:rsid w:val="007D206C"/>
    <w:rsid w:val="007D3AF7"/>
    <w:rsid w:val="007D3C96"/>
    <w:rsid w:val="007D4BC5"/>
    <w:rsid w:val="007D56E2"/>
    <w:rsid w:val="007D6AFA"/>
    <w:rsid w:val="007D7247"/>
    <w:rsid w:val="007E108B"/>
    <w:rsid w:val="007E1369"/>
    <w:rsid w:val="007E1394"/>
    <w:rsid w:val="007E1605"/>
    <w:rsid w:val="007E1BD3"/>
    <w:rsid w:val="007E28C6"/>
    <w:rsid w:val="007E3B11"/>
    <w:rsid w:val="007E52DF"/>
    <w:rsid w:val="007E5551"/>
    <w:rsid w:val="007E69CC"/>
    <w:rsid w:val="007E73BF"/>
    <w:rsid w:val="007F31EB"/>
    <w:rsid w:val="007F3385"/>
    <w:rsid w:val="007F3AE5"/>
    <w:rsid w:val="007F45AD"/>
    <w:rsid w:val="007F49B5"/>
    <w:rsid w:val="007F5B17"/>
    <w:rsid w:val="007F7001"/>
    <w:rsid w:val="0080133A"/>
    <w:rsid w:val="008027CF"/>
    <w:rsid w:val="00803743"/>
    <w:rsid w:val="00803B7C"/>
    <w:rsid w:val="0080727D"/>
    <w:rsid w:val="00810787"/>
    <w:rsid w:val="008115C6"/>
    <w:rsid w:val="0081208F"/>
    <w:rsid w:val="00813B9A"/>
    <w:rsid w:val="008142B1"/>
    <w:rsid w:val="008144B2"/>
    <w:rsid w:val="008147EA"/>
    <w:rsid w:val="00814F16"/>
    <w:rsid w:val="008176A6"/>
    <w:rsid w:val="00820EF5"/>
    <w:rsid w:val="008221C7"/>
    <w:rsid w:val="008223D5"/>
    <w:rsid w:val="00823954"/>
    <w:rsid w:val="008244FC"/>
    <w:rsid w:val="008257B7"/>
    <w:rsid w:val="008265F3"/>
    <w:rsid w:val="008266D7"/>
    <w:rsid w:val="00826B79"/>
    <w:rsid w:val="00830B8F"/>
    <w:rsid w:val="00831E4E"/>
    <w:rsid w:val="0083375D"/>
    <w:rsid w:val="00834FCD"/>
    <w:rsid w:val="00835DFA"/>
    <w:rsid w:val="0083712A"/>
    <w:rsid w:val="00837A2F"/>
    <w:rsid w:val="0084059C"/>
    <w:rsid w:val="00840D16"/>
    <w:rsid w:val="008414E9"/>
    <w:rsid w:val="00843823"/>
    <w:rsid w:val="00843CB4"/>
    <w:rsid w:val="00847B83"/>
    <w:rsid w:val="00847FF1"/>
    <w:rsid w:val="008518BD"/>
    <w:rsid w:val="00854E71"/>
    <w:rsid w:val="008551E3"/>
    <w:rsid w:val="00855734"/>
    <w:rsid w:val="00856359"/>
    <w:rsid w:val="00856912"/>
    <w:rsid w:val="00856AB1"/>
    <w:rsid w:val="008579B9"/>
    <w:rsid w:val="00857F0B"/>
    <w:rsid w:val="00861C82"/>
    <w:rsid w:val="00862AC0"/>
    <w:rsid w:val="008649E0"/>
    <w:rsid w:val="0086667B"/>
    <w:rsid w:val="00867B44"/>
    <w:rsid w:val="00870209"/>
    <w:rsid w:val="008707C0"/>
    <w:rsid w:val="00873B01"/>
    <w:rsid w:val="00875DBA"/>
    <w:rsid w:val="00876FB2"/>
    <w:rsid w:val="00880A34"/>
    <w:rsid w:val="00883E3F"/>
    <w:rsid w:val="00884056"/>
    <w:rsid w:val="00886439"/>
    <w:rsid w:val="00890CBF"/>
    <w:rsid w:val="00893CF8"/>
    <w:rsid w:val="00895324"/>
    <w:rsid w:val="008A0E0C"/>
    <w:rsid w:val="008A3434"/>
    <w:rsid w:val="008A6FC4"/>
    <w:rsid w:val="008A745D"/>
    <w:rsid w:val="008B1682"/>
    <w:rsid w:val="008B18B2"/>
    <w:rsid w:val="008B2CBD"/>
    <w:rsid w:val="008B48B5"/>
    <w:rsid w:val="008B4A17"/>
    <w:rsid w:val="008B4CC6"/>
    <w:rsid w:val="008B5158"/>
    <w:rsid w:val="008B5974"/>
    <w:rsid w:val="008B7245"/>
    <w:rsid w:val="008B745B"/>
    <w:rsid w:val="008C04C9"/>
    <w:rsid w:val="008C1EFD"/>
    <w:rsid w:val="008C2304"/>
    <w:rsid w:val="008C26A5"/>
    <w:rsid w:val="008C2997"/>
    <w:rsid w:val="008C50FB"/>
    <w:rsid w:val="008C55AA"/>
    <w:rsid w:val="008C7379"/>
    <w:rsid w:val="008D2491"/>
    <w:rsid w:val="008D3E8B"/>
    <w:rsid w:val="008D5741"/>
    <w:rsid w:val="008D6FD4"/>
    <w:rsid w:val="008E04D0"/>
    <w:rsid w:val="008E0ABD"/>
    <w:rsid w:val="008E20AF"/>
    <w:rsid w:val="008E355E"/>
    <w:rsid w:val="008E66CF"/>
    <w:rsid w:val="008E7098"/>
    <w:rsid w:val="008F3096"/>
    <w:rsid w:val="008F3980"/>
    <w:rsid w:val="008F611A"/>
    <w:rsid w:val="008F76FF"/>
    <w:rsid w:val="00901372"/>
    <w:rsid w:val="009028D5"/>
    <w:rsid w:val="00904B28"/>
    <w:rsid w:val="0090522D"/>
    <w:rsid w:val="0090695C"/>
    <w:rsid w:val="00911880"/>
    <w:rsid w:val="00911EBA"/>
    <w:rsid w:val="0091476C"/>
    <w:rsid w:val="00914E3D"/>
    <w:rsid w:val="009165C3"/>
    <w:rsid w:val="0091747A"/>
    <w:rsid w:val="00920D0B"/>
    <w:rsid w:val="0092451E"/>
    <w:rsid w:val="00925331"/>
    <w:rsid w:val="009259A1"/>
    <w:rsid w:val="009310FD"/>
    <w:rsid w:val="00932391"/>
    <w:rsid w:val="00936849"/>
    <w:rsid w:val="00936FFB"/>
    <w:rsid w:val="0093774B"/>
    <w:rsid w:val="00940416"/>
    <w:rsid w:val="00942D5B"/>
    <w:rsid w:val="00944B04"/>
    <w:rsid w:val="009454C8"/>
    <w:rsid w:val="009459F7"/>
    <w:rsid w:val="00946FFF"/>
    <w:rsid w:val="009520B1"/>
    <w:rsid w:val="00952228"/>
    <w:rsid w:val="00955F44"/>
    <w:rsid w:val="009562D8"/>
    <w:rsid w:val="00961EC3"/>
    <w:rsid w:val="00962468"/>
    <w:rsid w:val="00972985"/>
    <w:rsid w:val="00974253"/>
    <w:rsid w:val="009756A1"/>
    <w:rsid w:val="00976438"/>
    <w:rsid w:val="00976773"/>
    <w:rsid w:val="009773FA"/>
    <w:rsid w:val="009827BC"/>
    <w:rsid w:val="00984315"/>
    <w:rsid w:val="009865F7"/>
    <w:rsid w:val="00986A0C"/>
    <w:rsid w:val="00997D8D"/>
    <w:rsid w:val="009A06C0"/>
    <w:rsid w:val="009A303B"/>
    <w:rsid w:val="009A3655"/>
    <w:rsid w:val="009A36C2"/>
    <w:rsid w:val="009A6DBB"/>
    <w:rsid w:val="009A7835"/>
    <w:rsid w:val="009B2842"/>
    <w:rsid w:val="009B32D4"/>
    <w:rsid w:val="009B5C86"/>
    <w:rsid w:val="009C06D5"/>
    <w:rsid w:val="009C0CD0"/>
    <w:rsid w:val="009C687D"/>
    <w:rsid w:val="009C7F48"/>
    <w:rsid w:val="009D0721"/>
    <w:rsid w:val="009D19F1"/>
    <w:rsid w:val="009D2DB4"/>
    <w:rsid w:val="009D491B"/>
    <w:rsid w:val="009D785C"/>
    <w:rsid w:val="009D7B93"/>
    <w:rsid w:val="009E2743"/>
    <w:rsid w:val="009E2F8C"/>
    <w:rsid w:val="009E31B6"/>
    <w:rsid w:val="009E41A1"/>
    <w:rsid w:val="009E50C4"/>
    <w:rsid w:val="009E6F11"/>
    <w:rsid w:val="009E7F3E"/>
    <w:rsid w:val="009F0012"/>
    <w:rsid w:val="009F206D"/>
    <w:rsid w:val="009F3737"/>
    <w:rsid w:val="009F512C"/>
    <w:rsid w:val="009F5BA8"/>
    <w:rsid w:val="009F6232"/>
    <w:rsid w:val="00A008B5"/>
    <w:rsid w:val="00A059B3"/>
    <w:rsid w:val="00A06DD7"/>
    <w:rsid w:val="00A0784D"/>
    <w:rsid w:val="00A106C5"/>
    <w:rsid w:val="00A128FB"/>
    <w:rsid w:val="00A12DF2"/>
    <w:rsid w:val="00A13C2E"/>
    <w:rsid w:val="00A13F7A"/>
    <w:rsid w:val="00A140C3"/>
    <w:rsid w:val="00A1651E"/>
    <w:rsid w:val="00A20A36"/>
    <w:rsid w:val="00A21BF1"/>
    <w:rsid w:val="00A229E1"/>
    <w:rsid w:val="00A238BA"/>
    <w:rsid w:val="00A23BE4"/>
    <w:rsid w:val="00A23E4D"/>
    <w:rsid w:val="00A26F4D"/>
    <w:rsid w:val="00A32C57"/>
    <w:rsid w:val="00A34862"/>
    <w:rsid w:val="00A3586D"/>
    <w:rsid w:val="00A36036"/>
    <w:rsid w:val="00A3664C"/>
    <w:rsid w:val="00A37501"/>
    <w:rsid w:val="00A37F43"/>
    <w:rsid w:val="00A40334"/>
    <w:rsid w:val="00A40BED"/>
    <w:rsid w:val="00A413A5"/>
    <w:rsid w:val="00A418E1"/>
    <w:rsid w:val="00A4434D"/>
    <w:rsid w:val="00A44562"/>
    <w:rsid w:val="00A44F2A"/>
    <w:rsid w:val="00A469ED"/>
    <w:rsid w:val="00A47683"/>
    <w:rsid w:val="00A52649"/>
    <w:rsid w:val="00A54101"/>
    <w:rsid w:val="00A55548"/>
    <w:rsid w:val="00A611D7"/>
    <w:rsid w:val="00A62150"/>
    <w:rsid w:val="00A6673D"/>
    <w:rsid w:val="00A67480"/>
    <w:rsid w:val="00A72565"/>
    <w:rsid w:val="00A73187"/>
    <w:rsid w:val="00A73BC4"/>
    <w:rsid w:val="00A73BFF"/>
    <w:rsid w:val="00A7417E"/>
    <w:rsid w:val="00A74908"/>
    <w:rsid w:val="00A74F9A"/>
    <w:rsid w:val="00A804A9"/>
    <w:rsid w:val="00A825BF"/>
    <w:rsid w:val="00A84303"/>
    <w:rsid w:val="00A84A9D"/>
    <w:rsid w:val="00A84E47"/>
    <w:rsid w:val="00A93C00"/>
    <w:rsid w:val="00A95C3E"/>
    <w:rsid w:val="00A95FA3"/>
    <w:rsid w:val="00A96D28"/>
    <w:rsid w:val="00A97947"/>
    <w:rsid w:val="00AA1DE7"/>
    <w:rsid w:val="00AA2373"/>
    <w:rsid w:val="00AA32E7"/>
    <w:rsid w:val="00AA3D11"/>
    <w:rsid w:val="00AA5415"/>
    <w:rsid w:val="00AA65ED"/>
    <w:rsid w:val="00AB11AA"/>
    <w:rsid w:val="00AB1874"/>
    <w:rsid w:val="00AB1AA0"/>
    <w:rsid w:val="00AB25C8"/>
    <w:rsid w:val="00AB28F4"/>
    <w:rsid w:val="00AB5DCE"/>
    <w:rsid w:val="00AB7B03"/>
    <w:rsid w:val="00AC0819"/>
    <w:rsid w:val="00AC0A45"/>
    <w:rsid w:val="00AC2138"/>
    <w:rsid w:val="00AC2E51"/>
    <w:rsid w:val="00AC5F10"/>
    <w:rsid w:val="00AC61CE"/>
    <w:rsid w:val="00AC6D29"/>
    <w:rsid w:val="00AC7EF1"/>
    <w:rsid w:val="00AD0991"/>
    <w:rsid w:val="00AD0B5A"/>
    <w:rsid w:val="00AD16E2"/>
    <w:rsid w:val="00AD2432"/>
    <w:rsid w:val="00AD3BC3"/>
    <w:rsid w:val="00AE01A2"/>
    <w:rsid w:val="00AE0434"/>
    <w:rsid w:val="00AE128E"/>
    <w:rsid w:val="00AE1D3D"/>
    <w:rsid w:val="00AE2D65"/>
    <w:rsid w:val="00AE5E31"/>
    <w:rsid w:val="00AF020C"/>
    <w:rsid w:val="00AF146B"/>
    <w:rsid w:val="00AF1F3F"/>
    <w:rsid w:val="00AF3D5E"/>
    <w:rsid w:val="00AF5FB2"/>
    <w:rsid w:val="00AF6FEC"/>
    <w:rsid w:val="00B00599"/>
    <w:rsid w:val="00B008FD"/>
    <w:rsid w:val="00B00CBB"/>
    <w:rsid w:val="00B00E7D"/>
    <w:rsid w:val="00B012FF"/>
    <w:rsid w:val="00B03858"/>
    <w:rsid w:val="00B051F9"/>
    <w:rsid w:val="00B0629E"/>
    <w:rsid w:val="00B06741"/>
    <w:rsid w:val="00B0788C"/>
    <w:rsid w:val="00B11E1C"/>
    <w:rsid w:val="00B12DCC"/>
    <w:rsid w:val="00B1325F"/>
    <w:rsid w:val="00B1414B"/>
    <w:rsid w:val="00B163BD"/>
    <w:rsid w:val="00B16DCB"/>
    <w:rsid w:val="00B20598"/>
    <w:rsid w:val="00B211B4"/>
    <w:rsid w:val="00B2289D"/>
    <w:rsid w:val="00B22BE0"/>
    <w:rsid w:val="00B24092"/>
    <w:rsid w:val="00B278D1"/>
    <w:rsid w:val="00B30508"/>
    <w:rsid w:val="00B313DD"/>
    <w:rsid w:val="00B32211"/>
    <w:rsid w:val="00B33053"/>
    <w:rsid w:val="00B33507"/>
    <w:rsid w:val="00B37FD2"/>
    <w:rsid w:val="00B40501"/>
    <w:rsid w:val="00B430D0"/>
    <w:rsid w:val="00B440CB"/>
    <w:rsid w:val="00B44643"/>
    <w:rsid w:val="00B4661F"/>
    <w:rsid w:val="00B472A9"/>
    <w:rsid w:val="00B5112A"/>
    <w:rsid w:val="00B523CA"/>
    <w:rsid w:val="00B53AA2"/>
    <w:rsid w:val="00B53FAE"/>
    <w:rsid w:val="00B54010"/>
    <w:rsid w:val="00B54476"/>
    <w:rsid w:val="00B55FE6"/>
    <w:rsid w:val="00B56A85"/>
    <w:rsid w:val="00B60A94"/>
    <w:rsid w:val="00B6163D"/>
    <w:rsid w:val="00B62AC1"/>
    <w:rsid w:val="00B638EF"/>
    <w:rsid w:val="00B65430"/>
    <w:rsid w:val="00B65EAF"/>
    <w:rsid w:val="00B67559"/>
    <w:rsid w:val="00B7521B"/>
    <w:rsid w:val="00B75374"/>
    <w:rsid w:val="00B76861"/>
    <w:rsid w:val="00B809F9"/>
    <w:rsid w:val="00B80B0E"/>
    <w:rsid w:val="00B81219"/>
    <w:rsid w:val="00B815E1"/>
    <w:rsid w:val="00B83B72"/>
    <w:rsid w:val="00B849AC"/>
    <w:rsid w:val="00B91CA2"/>
    <w:rsid w:val="00B970A7"/>
    <w:rsid w:val="00B971E2"/>
    <w:rsid w:val="00BA1FC5"/>
    <w:rsid w:val="00BA2338"/>
    <w:rsid w:val="00BA2403"/>
    <w:rsid w:val="00BA31CD"/>
    <w:rsid w:val="00BA34CE"/>
    <w:rsid w:val="00BA37A3"/>
    <w:rsid w:val="00BA43EA"/>
    <w:rsid w:val="00BA504D"/>
    <w:rsid w:val="00BA5619"/>
    <w:rsid w:val="00BA7296"/>
    <w:rsid w:val="00BB2B76"/>
    <w:rsid w:val="00BB5831"/>
    <w:rsid w:val="00BB76D0"/>
    <w:rsid w:val="00BC31E8"/>
    <w:rsid w:val="00BC3325"/>
    <w:rsid w:val="00BC595E"/>
    <w:rsid w:val="00BC76F7"/>
    <w:rsid w:val="00BD1192"/>
    <w:rsid w:val="00BD1921"/>
    <w:rsid w:val="00BD361E"/>
    <w:rsid w:val="00BD40FE"/>
    <w:rsid w:val="00BD62ED"/>
    <w:rsid w:val="00BD6CD0"/>
    <w:rsid w:val="00BD711A"/>
    <w:rsid w:val="00BE002C"/>
    <w:rsid w:val="00BE0C02"/>
    <w:rsid w:val="00BE0CCE"/>
    <w:rsid w:val="00BE0D1B"/>
    <w:rsid w:val="00BE24D7"/>
    <w:rsid w:val="00BE29EF"/>
    <w:rsid w:val="00BE2E81"/>
    <w:rsid w:val="00BE31A3"/>
    <w:rsid w:val="00BE4DAD"/>
    <w:rsid w:val="00BE4E35"/>
    <w:rsid w:val="00BE502B"/>
    <w:rsid w:val="00BE5EB4"/>
    <w:rsid w:val="00BE6B95"/>
    <w:rsid w:val="00C0148D"/>
    <w:rsid w:val="00C02500"/>
    <w:rsid w:val="00C043F6"/>
    <w:rsid w:val="00C04772"/>
    <w:rsid w:val="00C0526F"/>
    <w:rsid w:val="00C05EFF"/>
    <w:rsid w:val="00C06201"/>
    <w:rsid w:val="00C07261"/>
    <w:rsid w:val="00C07E18"/>
    <w:rsid w:val="00C119DB"/>
    <w:rsid w:val="00C122DD"/>
    <w:rsid w:val="00C132CE"/>
    <w:rsid w:val="00C17D26"/>
    <w:rsid w:val="00C22315"/>
    <w:rsid w:val="00C225C1"/>
    <w:rsid w:val="00C23CD3"/>
    <w:rsid w:val="00C245D4"/>
    <w:rsid w:val="00C24788"/>
    <w:rsid w:val="00C26132"/>
    <w:rsid w:val="00C26281"/>
    <w:rsid w:val="00C27C22"/>
    <w:rsid w:val="00C305F8"/>
    <w:rsid w:val="00C31769"/>
    <w:rsid w:val="00C3452B"/>
    <w:rsid w:val="00C36FA9"/>
    <w:rsid w:val="00C37F2C"/>
    <w:rsid w:val="00C44903"/>
    <w:rsid w:val="00C45929"/>
    <w:rsid w:val="00C45E90"/>
    <w:rsid w:val="00C5063A"/>
    <w:rsid w:val="00C50D75"/>
    <w:rsid w:val="00C50E46"/>
    <w:rsid w:val="00C535E8"/>
    <w:rsid w:val="00C54013"/>
    <w:rsid w:val="00C549B6"/>
    <w:rsid w:val="00C54D03"/>
    <w:rsid w:val="00C55943"/>
    <w:rsid w:val="00C55969"/>
    <w:rsid w:val="00C55F8F"/>
    <w:rsid w:val="00C57E72"/>
    <w:rsid w:val="00C57F71"/>
    <w:rsid w:val="00C61E40"/>
    <w:rsid w:val="00C65D17"/>
    <w:rsid w:val="00C74A40"/>
    <w:rsid w:val="00C7547A"/>
    <w:rsid w:val="00C75F47"/>
    <w:rsid w:val="00C76110"/>
    <w:rsid w:val="00C76EB3"/>
    <w:rsid w:val="00C806E1"/>
    <w:rsid w:val="00C80A6F"/>
    <w:rsid w:val="00C81474"/>
    <w:rsid w:val="00C81C5C"/>
    <w:rsid w:val="00C833B6"/>
    <w:rsid w:val="00C838C0"/>
    <w:rsid w:val="00C8393F"/>
    <w:rsid w:val="00C85D8B"/>
    <w:rsid w:val="00C85E20"/>
    <w:rsid w:val="00C85F55"/>
    <w:rsid w:val="00C866CD"/>
    <w:rsid w:val="00C86A7A"/>
    <w:rsid w:val="00C91440"/>
    <w:rsid w:val="00C918C6"/>
    <w:rsid w:val="00C94EBC"/>
    <w:rsid w:val="00C97C72"/>
    <w:rsid w:val="00CA02D9"/>
    <w:rsid w:val="00CA15EC"/>
    <w:rsid w:val="00CA32BE"/>
    <w:rsid w:val="00CA4DD5"/>
    <w:rsid w:val="00CA4F69"/>
    <w:rsid w:val="00CA51A8"/>
    <w:rsid w:val="00CA53F1"/>
    <w:rsid w:val="00CA6DB2"/>
    <w:rsid w:val="00CB0EC6"/>
    <w:rsid w:val="00CB156B"/>
    <w:rsid w:val="00CB5630"/>
    <w:rsid w:val="00CB7309"/>
    <w:rsid w:val="00CB76E8"/>
    <w:rsid w:val="00CC3B71"/>
    <w:rsid w:val="00CC4EF1"/>
    <w:rsid w:val="00CC73D8"/>
    <w:rsid w:val="00CD288E"/>
    <w:rsid w:val="00CD3661"/>
    <w:rsid w:val="00CD4130"/>
    <w:rsid w:val="00CD792E"/>
    <w:rsid w:val="00CE3567"/>
    <w:rsid w:val="00CF05F0"/>
    <w:rsid w:val="00CF0C96"/>
    <w:rsid w:val="00CF1457"/>
    <w:rsid w:val="00CF2A4C"/>
    <w:rsid w:val="00CF482C"/>
    <w:rsid w:val="00CF6C8D"/>
    <w:rsid w:val="00CF73C2"/>
    <w:rsid w:val="00CF75CE"/>
    <w:rsid w:val="00D01F73"/>
    <w:rsid w:val="00D03E0D"/>
    <w:rsid w:val="00D0578B"/>
    <w:rsid w:val="00D101BE"/>
    <w:rsid w:val="00D10D65"/>
    <w:rsid w:val="00D13641"/>
    <w:rsid w:val="00D137C2"/>
    <w:rsid w:val="00D13D4D"/>
    <w:rsid w:val="00D156DE"/>
    <w:rsid w:val="00D20DCE"/>
    <w:rsid w:val="00D217B3"/>
    <w:rsid w:val="00D219EC"/>
    <w:rsid w:val="00D253DE"/>
    <w:rsid w:val="00D2657C"/>
    <w:rsid w:val="00D27211"/>
    <w:rsid w:val="00D316F2"/>
    <w:rsid w:val="00D31FA3"/>
    <w:rsid w:val="00D32182"/>
    <w:rsid w:val="00D32A24"/>
    <w:rsid w:val="00D330A1"/>
    <w:rsid w:val="00D33EB7"/>
    <w:rsid w:val="00D35784"/>
    <w:rsid w:val="00D35987"/>
    <w:rsid w:val="00D36DAC"/>
    <w:rsid w:val="00D379CF"/>
    <w:rsid w:val="00D4038D"/>
    <w:rsid w:val="00D409F5"/>
    <w:rsid w:val="00D40A6C"/>
    <w:rsid w:val="00D43692"/>
    <w:rsid w:val="00D43846"/>
    <w:rsid w:val="00D43AB4"/>
    <w:rsid w:val="00D44157"/>
    <w:rsid w:val="00D46F0D"/>
    <w:rsid w:val="00D46F0F"/>
    <w:rsid w:val="00D513FC"/>
    <w:rsid w:val="00D520A3"/>
    <w:rsid w:val="00D52DCD"/>
    <w:rsid w:val="00D5405A"/>
    <w:rsid w:val="00D54EFB"/>
    <w:rsid w:val="00D55132"/>
    <w:rsid w:val="00D57EEB"/>
    <w:rsid w:val="00D6033B"/>
    <w:rsid w:val="00D60F44"/>
    <w:rsid w:val="00D70473"/>
    <w:rsid w:val="00D710D5"/>
    <w:rsid w:val="00D71EFF"/>
    <w:rsid w:val="00D7439D"/>
    <w:rsid w:val="00D7795B"/>
    <w:rsid w:val="00D77C44"/>
    <w:rsid w:val="00D80AE8"/>
    <w:rsid w:val="00D82EEE"/>
    <w:rsid w:val="00D83065"/>
    <w:rsid w:val="00D85005"/>
    <w:rsid w:val="00D9178C"/>
    <w:rsid w:val="00D92EED"/>
    <w:rsid w:val="00D949AA"/>
    <w:rsid w:val="00D95441"/>
    <w:rsid w:val="00D95794"/>
    <w:rsid w:val="00D95D73"/>
    <w:rsid w:val="00D95FBA"/>
    <w:rsid w:val="00D975B5"/>
    <w:rsid w:val="00DA1ED9"/>
    <w:rsid w:val="00DA4D73"/>
    <w:rsid w:val="00DA508C"/>
    <w:rsid w:val="00DA5198"/>
    <w:rsid w:val="00DB00D6"/>
    <w:rsid w:val="00DB4D17"/>
    <w:rsid w:val="00DB52D3"/>
    <w:rsid w:val="00DB55DC"/>
    <w:rsid w:val="00DB62AC"/>
    <w:rsid w:val="00DC074B"/>
    <w:rsid w:val="00DC08F5"/>
    <w:rsid w:val="00DC236E"/>
    <w:rsid w:val="00DC31AB"/>
    <w:rsid w:val="00DC4679"/>
    <w:rsid w:val="00DC4F69"/>
    <w:rsid w:val="00DC5DE2"/>
    <w:rsid w:val="00DC6B8C"/>
    <w:rsid w:val="00DD1E6E"/>
    <w:rsid w:val="00DD326B"/>
    <w:rsid w:val="00DD3ED2"/>
    <w:rsid w:val="00DD41B4"/>
    <w:rsid w:val="00DD6386"/>
    <w:rsid w:val="00DD6B99"/>
    <w:rsid w:val="00DE0755"/>
    <w:rsid w:val="00DE6BC0"/>
    <w:rsid w:val="00DE75A4"/>
    <w:rsid w:val="00DF1724"/>
    <w:rsid w:val="00DF21E4"/>
    <w:rsid w:val="00DF2567"/>
    <w:rsid w:val="00DF289A"/>
    <w:rsid w:val="00DF408F"/>
    <w:rsid w:val="00DF425B"/>
    <w:rsid w:val="00DF42F9"/>
    <w:rsid w:val="00DF536B"/>
    <w:rsid w:val="00E00F8F"/>
    <w:rsid w:val="00E03072"/>
    <w:rsid w:val="00E06EAE"/>
    <w:rsid w:val="00E07D95"/>
    <w:rsid w:val="00E10241"/>
    <w:rsid w:val="00E1034D"/>
    <w:rsid w:val="00E10402"/>
    <w:rsid w:val="00E10700"/>
    <w:rsid w:val="00E13A21"/>
    <w:rsid w:val="00E152E9"/>
    <w:rsid w:val="00E156E6"/>
    <w:rsid w:val="00E15B04"/>
    <w:rsid w:val="00E15CDA"/>
    <w:rsid w:val="00E178F9"/>
    <w:rsid w:val="00E2089F"/>
    <w:rsid w:val="00E25F5D"/>
    <w:rsid w:val="00E267D0"/>
    <w:rsid w:val="00E26897"/>
    <w:rsid w:val="00E2706C"/>
    <w:rsid w:val="00E271E8"/>
    <w:rsid w:val="00E307F5"/>
    <w:rsid w:val="00E31193"/>
    <w:rsid w:val="00E32178"/>
    <w:rsid w:val="00E32CB0"/>
    <w:rsid w:val="00E33BB3"/>
    <w:rsid w:val="00E33D62"/>
    <w:rsid w:val="00E36422"/>
    <w:rsid w:val="00E37434"/>
    <w:rsid w:val="00E40247"/>
    <w:rsid w:val="00E40DFC"/>
    <w:rsid w:val="00E419E8"/>
    <w:rsid w:val="00E42471"/>
    <w:rsid w:val="00E435EE"/>
    <w:rsid w:val="00E43E20"/>
    <w:rsid w:val="00E44B2B"/>
    <w:rsid w:val="00E4509D"/>
    <w:rsid w:val="00E46899"/>
    <w:rsid w:val="00E47403"/>
    <w:rsid w:val="00E52849"/>
    <w:rsid w:val="00E530FF"/>
    <w:rsid w:val="00E53211"/>
    <w:rsid w:val="00E6147C"/>
    <w:rsid w:val="00E640F5"/>
    <w:rsid w:val="00E64C57"/>
    <w:rsid w:val="00E65F77"/>
    <w:rsid w:val="00E70E8B"/>
    <w:rsid w:val="00E722C2"/>
    <w:rsid w:val="00E73B6D"/>
    <w:rsid w:val="00E74E4F"/>
    <w:rsid w:val="00E74F6D"/>
    <w:rsid w:val="00E81213"/>
    <w:rsid w:val="00E81F93"/>
    <w:rsid w:val="00E82C4B"/>
    <w:rsid w:val="00E860CD"/>
    <w:rsid w:val="00E874BB"/>
    <w:rsid w:val="00E90926"/>
    <w:rsid w:val="00E90FF6"/>
    <w:rsid w:val="00E911DF"/>
    <w:rsid w:val="00E944A3"/>
    <w:rsid w:val="00E94F2F"/>
    <w:rsid w:val="00EA11E4"/>
    <w:rsid w:val="00EA1301"/>
    <w:rsid w:val="00EA4B40"/>
    <w:rsid w:val="00EA5F4B"/>
    <w:rsid w:val="00EA620B"/>
    <w:rsid w:val="00EA74FF"/>
    <w:rsid w:val="00EB0A6D"/>
    <w:rsid w:val="00EB2B56"/>
    <w:rsid w:val="00EB74B7"/>
    <w:rsid w:val="00EB792B"/>
    <w:rsid w:val="00EC071A"/>
    <w:rsid w:val="00EC126E"/>
    <w:rsid w:val="00EC49AB"/>
    <w:rsid w:val="00EC4CD2"/>
    <w:rsid w:val="00EC5ADC"/>
    <w:rsid w:val="00EC6E56"/>
    <w:rsid w:val="00ED03DD"/>
    <w:rsid w:val="00ED0EEE"/>
    <w:rsid w:val="00ED1270"/>
    <w:rsid w:val="00ED1667"/>
    <w:rsid w:val="00ED21B6"/>
    <w:rsid w:val="00ED2B22"/>
    <w:rsid w:val="00ED2F1F"/>
    <w:rsid w:val="00ED38A5"/>
    <w:rsid w:val="00ED3CC8"/>
    <w:rsid w:val="00ED7542"/>
    <w:rsid w:val="00EE097D"/>
    <w:rsid w:val="00EE0FC1"/>
    <w:rsid w:val="00EE257D"/>
    <w:rsid w:val="00EE3BCA"/>
    <w:rsid w:val="00EE45FE"/>
    <w:rsid w:val="00EE4CAD"/>
    <w:rsid w:val="00EF0D18"/>
    <w:rsid w:val="00EF1E9B"/>
    <w:rsid w:val="00EF2CCC"/>
    <w:rsid w:val="00EF4260"/>
    <w:rsid w:val="00EF620C"/>
    <w:rsid w:val="00F0100F"/>
    <w:rsid w:val="00F063E5"/>
    <w:rsid w:val="00F1102C"/>
    <w:rsid w:val="00F134B4"/>
    <w:rsid w:val="00F14C7B"/>
    <w:rsid w:val="00F15880"/>
    <w:rsid w:val="00F16414"/>
    <w:rsid w:val="00F17142"/>
    <w:rsid w:val="00F200D6"/>
    <w:rsid w:val="00F201FB"/>
    <w:rsid w:val="00F20E61"/>
    <w:rsid w:val="00F21484"/>
    <w:rsid w:val="00F21D24"/>
    <w:rsid w:val="00F23C7B"/>
    <w:rsid w:val="00F24E4F"/>
    <w:rsid w:val="00F305CD"/>
    <w:rsid w:val="00F31B05"/>
    <w:rsid w:val="00F32A01"/>
    <w:rsid w:val="00F33B6F"/>
    <w:rsid w:val="00F34056"/>
    <w:rsid w:val="00F362F5"/>
    <w:rsid w:val="00F363CB"/>
    <w:rsid w:val="00F3780E"/>
    <w:rsid w:val="00F37A36"/>
    <w:rsid w:val="00F5030C"/>
    <w:rsid w:val="00F50C99"/>
    <w:rsid w:val="00F51247"/>
    <w:rsid w:val="00F51FDA"/>
    <w:rsid w:val="00F52DB4"/>
    <w:rsid w:val="00F57C3A"/>
    <w:rsid w:val="00F61A64"/>
    <w:rsid w:val="00F63203"/>
    <w:rsid w:val="00F63D76"/>
    <w:rsid w:val="00F65DDE"/>
    <w:rsid w:val="00F67FF8"/>
    <w:rsid w:val="00F70940"/>
    <w:rsid w:val="00F70C9B"/>
    <w:rsid w:val="00F72FFA"/>
    <w:rsid w:val="00F74E98"/>
    <w:rsid w:val="00F76134"/>
    <w:rsid w:val="00F76F9B"/>
    <w:rsid w:val="00F8000B"/>
    <w:rsid w:val="00F80850"/>
    <w:rsid w:val="00F80B9E"/>
    <w:rsid w:val="00F81093"/>
    <w:rsid w:val="00F829C2"/>
    <w:rsid w:val="00F83C42"/>
    <w:rsid w:val="00F846B0"/>
    <w:rsid w:val="00F848D2"/>
    <w:rsid w:val="00F86E74"/>
    <w:rsid w:val="00F876FD"/>
    <w:rsid w:val="00F90381"/>
    <w:rsid w:val="00F90542"/>
    <w:rsid w:val="00F9332C"/>
    <w:rsid w:val="00F93FB5"/>
    <w:rsid w:val="00F96CD5"/>
    <w:rsid w:val="00F97A71"/>
    <w:rsid w:val="00FA34C9"/>
    <w:rsid w:val="00FA373D"/>
    <w:rsid w:val="00FA4745"/>
    <w:rsid w:val="00FA712D"/>
    <w:rsid w:val="00FB1166"/>
    <w:rsid w:val="00FB2841"/>
    <w:rsid w:val="00FB6779"/>
    <w:rsid w:val="00FC14A6"/>
    <w:rsid w:val="00FC6A10"/>
    <w:rsid w:val="00FD1503"/>
    <w:rsid w:val="00FD15D8"/>
    <w:rsid w:val="00FD5067"/>
    <w:rsid w:val="00FD6B2E"/>
    <w:rsid w:val="00FE34B2"/>
    <w:rsid w:val="00FE443F"/>
    <w:rsid w:val="00FE6499"/>
    <w:rsid w:val="00FE65E3"/>
    <w:rsid w:val="00FE6C59"/>
    <w:rsid w:val="00FF08E5"/>
    <w:rsid w:val="00FF13CD"/>
    <w:rsid w:val="00FF1419"/>
    <w:rsid w:val="00FF3394"/>
    <w:rsid w:val="00FF4230"/>
    <w:rsid w:val="00FF48E6"/>
    <w:rsid w:val="00FF5607"/>
    <w:rsid w:val="00FF642A"/>
    <w:rsid w:val="00FF7981"/>
    <w:rsid w:val="00FF79D0"/>
    <w:rsid w:val="06556D2A"/>
    <w:rsid w:val="176F7F5E"/>
    <w:rsid w:val="1D710D97"/>
    <w:rsid w:val="25E6A9F5"/>
    <w:rsid w:val="362B0F16"/>
    <w:rsid w:val="3A208BA4"/>
    <w:rsid w:val="458F0CDD"/>
    <w:rsid w:val="545831F2"/>
    <w:rsid w:val="58EA0D23"/>
    <w:rsid w:val="6637567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CFC6D"/>
  <w15:chartTrackingRefBased/>
  <w15:docId w15:val="{33A52D34-CD83-435B-9B9B-E72EFCCC1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iPriority="4" w:unhideWhenUsed="1"/>
    <w:lsdException w:name="List Bullet 4" w:semiHidden="1" w:uiPriority="98" w:unhideWhenUsed="1"/>
    <w:lsdException w:name="List Bullet 5" w:semiHidden="1" w:uiPriority="98"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EE8"/>
    <w:pPr>
      <w:widowControl w:val="0"/>
      <w:autoSpaceDE w:val="0"/>
      <w:autoSpaceDN w:val="0"/>
      <w:spacing w:after="0" w:line="240" w:lineRule="auto"/>
    </w:pPr>
    <w:rPr>
      <w:rFonts w:ascii="Century Gothic" w:eastAsia="Century Gothic" w:hAnsi="Century Gothic" w:cs="Century Gothic"/>
      <w:lang w:eastAsia="en-AU" w:bidi="en-AU"/>
    </w:rPr>
  </w:style>
  <w:style w:type="paragraph" w:styleId="Heading1">
    <w:name w:val="heading 1"/>
    <w:basedOn w:val="Normal"/>
    <w:next w:val="Normal"/>
    <w:link w:val="Heading1Char"/>
    <w:uiPriority w:val="9"/>
    <w:qFormat/>
    <w:rsid w:val="00A23E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A51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56AB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unhideWhenUsed/>
    <w:qFormat/>
    <w:rsid w:val="005C1EE8"/>
    <w:pPr>
      <w:spacing w:before="192"/>
      <w:ind w:right="1193"/>
      <w:jc w:val="right"/>
      <w:outlineLvl w:val="3"/>
    </w:pPr>
    <w:rPr>
      <w:sz w:val="36"/>
      <w:szCs w:val="36"/>
    </w:rPr>
  </w:style>
  <w:style w:type="paragraph" w:styleId="Heading6">
    <w:name w:val="heading 6"/>
    <w:basedOn w:val="Normal"/>
    <w:link w:val="Heading6Char"/>
    <w:uiPriority w:val="9"/>
    <w:unhideWhenUsed/>
    <w:qFormat/>
    <w:rsid w:val="005C1EE8"/>
    <w:pPr>
      <w:ind w:left="626" w:right="1324"/>
      <w:jc w:val="center"/>
      <w:outlineLvl w:val="5"/>
    </w:pPr>
    <w:rPr>
      <w:rFonts w:ascii="Arial" w:eastAsia="Arial" w:hAnsi="Arial" w:cs="Arial"/>
      <w:b/>
      <w:bCs/>
      <w:sz w:val="28"/>
      <w:szCs w:val="28"/>
    </w:rPr>
  </w:style>
  <w:style w:type="paragraph" w:styleId="Heading7">
    <w:name w:val="heading 7"/>
    <w:basedOn w:val="Normal"/>
    <w:link w:val="Heading7Char"/>
    <w:uiPriority w:val="1"/>
    <w:qFormat/>
    <w:rsid w:val="005C1EE8"/>
    <w:pPr>
      <w:ind w:left="640"/>
      <w:outlineLvl w:val="6"/>
    </w:pPr>
    <w:rPr>
      <w:sz w:val="28"/>
      <w:szCs w:val="28"/>
    </w:rPr>
  </w:style>
  <w:style w:type="paragraph" w:styleId="Heading9">
    <w:name w:val="heading 9"/>
    <w:basedOn w:val="Normal"/>
    <w:link w:val="Heading9Char"/>
    <w:uiPriority w:val="1"/>
    <w:qFormat/>
    <w:rsid w:val="005C1EE8"/>
    <w:pPr>
      <w:ind w:left="477"/>
      <w:outlineLvl w:val="8"/>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C1EE8"/>
    <w:rPr>
      <w:rFonts w:ascii="Century Gothic" w:eastAsia="Century Gothic" w:hAnsi="Century Gothic" w:cs="Century Gothic"/>
      <w:sz w:val="36"/>
      <w:szCs w:val="36"/>
      <w:lang w:eastAsia="en-AU" w:bidi="en-AU"/>
    </w:rPr>
  </w:style>
  <w:style w:type="character" w:customStyle="1" w:styleId="Heading6Char">
    <w:name w:val="Heading 6 Char"/>
    <w:basedOn w:val="DefaultParagraphFont"/>
    <w:link w:val="Heading6"/>
    <w:uiPriority w:val="9"/>
    <w:rsid w:val="005C1EE8"/>
    <w:rPr>
      <w:rFonts w:ascii="Arial" w:eastAsia="Arial" w:hAnsi="Arial" w:cs="Arial"/>
      <w:b/>
      <w:bCs/>
      <w:sz w:val="28"/>
      <w:szCs w:val="28"/>
      <w:lang w:eastAsia="en-AU" w:bidi="en-AU"/>
    </w:rPr>
  </w:style>
  <w:style w:type="character" w:customStyle="1" w:styleId="Heading7Char">
    <w:name w:val="Heading 7 Char"/>
    <w:basedOn w:val="DefaultParagraphFont"/>
    <w:link w:val="Heading7"/>
    <w:uiPriority w:val="1"/>
    <w:rsid w:val="005C1EE8"/>
    <w:rPr>
      <w:rFonts w:ascii="Century Gothic" w:eastAsia="Century Gothic" w:hAnsi="Century Gothic" w:cs="Century Gothic"/>
      <w:sz w:val="28"/>
      <w:szCs w:val="28"/>
      <w:lang w:eastAsia="en-AU" w:bidi="en-AU"/>
    </w:rPr>
  </w:style>
  <w:style w:type="character" w:customStyle="1" w:styleId="Heading9Char">
    <w:name w:val="Heading 9 Char"/>
    <w:basedOn w:val="DefaultParagraphFont"/>
    <w:link w:val="Heading9"/>
    <w:uiPriority w:val="1"/>
    <w:rsid w:val="005C1EE8"/>
    <w:rPr>
      <w:rFonts w:ascii="Trebuchet MS" w:eastAsia="Trebuchet MS" w:hAnsi="Trebuchet MS" w:cs="Trebuchet MS"/>
      <w:b/>
      <w:bCs/>
      <w:sz w:val="24"/>
      <w:szCs w:val="24"/>
      <w:lang w:eastAsia="en-AU" w:bidi="en-AU"/>
    </w:rPr>
  </w:style>
  <w:style w:type="paragraph" w:styleId="BodyText">
    <w:name w:val="Body Text"/>
    <w:basedOn w:val="Normal"/>
    <w:link w:val="BodyTextChar"/>
    <w:uiPriority w:val="1"/>
    <w:qFormat/>
    <w:rsid w:val="005C1EE8"/>
  </w:style>
  <w:style w:type="character" w:customStyle="1" w:styleId="BodyTextChar">
    <w:name w:val="Body Text Char"/>
    <w:basedOn w:val="DefaultParagraphFont"/>
    <w:link w:val="BodyText"/>
    <w:uiPriority w:val="1"/>
    <w:rsid w:val="005C1EE8"/>
    <w:rPr>
      <w:rFonts w:ascii="Century Gothic" w:eastAsia="Century Gothic" w:hAnsi="Century Gothic" w:cs="Century Gothic"/>
      <w:lang w:eastAsia="en-AU" w:bidi="en-AU"/>
    </w:rPr>
  </w:style>
  <w:style w:type="paragraph" w:styleId="ListParagraph">
    <w:name w:val="List Paragraph"/>
    <w:basedOn w:val="Normal"/>
    <w:uiPriority w:val="34"/>
    <w:qFormat/>
    <w:rsid w:val="005C1EE8"/>
    <w:pPr>
      <w:ind w:left="1197" w:hanging="360"/>
    </w:pPr>
  </w:style>
  <w:style w:type="paragraph" w:styleId="Header">
    <w:name w:val="header"/>
    <w:basedOn w:val="Normal"/>
    <w:link w:val="HeaderChar"/>
    <w:uiPriority w:val="99"/>
    <w:unhideWhenUsed/>
    <w:rsid w:val="00D95794"/>
    <w:pPr>
      <w:tabs>
        <w:tab w:val="center" w:pos="4513"/>
        <w:tab w:val="right" w:pos="9026"/>
      </w:tabs>
    </w:pPr>
  </w:style>
  <w:style w:type="character" w:customStyle="1" w:styleId="HeaderChar">
    <w:name w:val="Header Char"/>
    <w:basedOn w:val="DefaultParagraphFont"/>
    <w:link w:val="Header"/>
    <w:uiPriority w:val="99"/>
    <w:rsid w:val="00D95794"/>
    <w:rPr>
      <w:rFonts w:ascii="Century Gothic" w:eastAsia="Century Gothic" w:hAnsi="Century Gothic" w:cs="Century Gothic"/>
      <w:lang w:eastAsia="en-AU" w:bidi="en-AU"/>
    </w:rPr>
  </w:style>
  <w:style w:type="paragraph" w:styleId="Footer">
    <w:name w:val="footer"/>
    <w:basedOn w:val="Normal"/>
    <w:link w:val="FooterChar"/>
    <w:uiPriority w:val="99"/>
    <w:unhideWhenUsed/>
    <w:rsid w:val="00D95794"/>
    <w:pPr>
      <w:tabs>
        <w:tab w:val="center" w:pos="4513"/>
        <w:tab w:val="right" w:pos="9026"/>
      </w:tabs>
    </w:pPr>
  </w:style>
  <w:style w:type="character" w:customStyle="1" w:styleId="FooterChar">
    <w:name w:val="Footer Char"/>
    <w:basedOn w:val="DefaultParagraphFont"/>
    <w:link w:val="Footer"/>
    <w:uiPriority w:val="99"/>
    <w:rsid w:val="00D95794"/>
    <w:rPr>
      <w:rFonts w:ascii="Century Gothic" w:eastAsia="Century Gothic" w:hAnsi="Century Gothic" w:cs="Century Gothic"/>
      <w:lang w:eastAsia="en-AU" w:bidi="en-AU"/>
    </w:rPr>
  </w:style>
  <w:style w:type="character" w:styleId="CommentReference">
    <w:name w:val="annotation reference"/>
    <w:basedOn w:val="DefaultParagraphFont"/>
    <w:uiPriority w:val="99"/>
    <w:semiHidden/>
    <w:unhideWhenUsed/>
    <w:rsid w:val="007F49B5"/>
    <w:rPr>
      <w:sz w:val="16"/>
      <w:szCs w:val="16"/>
    </w:rPr>
  </w:style>
  <w:style w:type="paragraph" w:styleId="CommentText">
    <w:name w:val="annotation text"/>
    <w:basedOn w:val="Normal"/>
    <w:link w:val="CommentTextChar"/>
    <w:uiPriority w:val="99"/>
    <w:unhideWhenUsed/>
    <w:rsid w:val="007F49B5"/>
    <w:rPr>
      <w:sz w:val="20"/>
      <w:szCs w:val="20"/>
    </w:rPr>
  </w:style>
  <w:style w:type="character" w:customStyle="1" w:styleId="CommentTextChar">
    <w:name w:val="Comment Text Char"/>
    <w:basedOn w:val="DefaultParagraphFont"/>
    <w:link w:val="CommentText"/>
    <w:uiPriority w:val="99"/>
    <w:rsid w:val="007F49B5"/>
    <w:rPr>
      <w:rFonts w:ascii="Century Gothic" w:eastAsia="Century Gothic" w:hAnsi="Century Gothic"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7F49B5"/>
    <w:rPr>
      <w:b/>
      <w:bCs/>
    </w:rPr>
  </w:style>
  <w:style w:type="character" w:customStyle="1" w:styleId="CommentSubjectChar">
    <w:name w:val="Comment Subject Char"/>
    <w:basedOn w:val="CommentTextChar"/>
    <w:link w:val="CommentSubject"/>
    <w:uiPriority w:val="99"/>
    <w:semiHidden/>
    <w:rsid w:val="007F49B5"/>
    <w:rPr>
      <w:rFonts w:ascii="Century Gothic" w:eastAsia="Century Gothic" w:hAnsi="Century Gothic" w:cs="Century Gothic"/>
      <w:b/>
      <w:bCs/>
      <w:sz w:val="20"/>
      <w:szCs w:val="20"/>
      <w:lang w:eastAsia="en-AU" w:bidi="en-AU"/>
    </w:rPr>
  </w:style>
  <w:style w:type="character" w:styleId="Hyperlink">
    <w:name w:val="Hyperlink"/>
    <w:unhideWhenUsed/>
    <w:rsid w:val="00A40334"/>
    <w:rPr>
      <w:color w:val="0000FF"/>
      <w:u w:val="single"/>
    </w:rPr>
  </w:style>
  <w:style w:type="paragraph" w:customStyle="1" w:styleId="ScheduleTitle">
    <w:name w:val="Schedule Title"/>
    <w:basedOn w:val="Normal"/>
    <w:next w:val="Normal"/>
    <w:rsid w:val="00A40334"/>
    <w:pPr>
      <w:widowControl/>
      <w:autoSpaceDE/>
      <w:autoSpaceDN/>
      <w:spacing w:before="240" w:after="120"/>
      <w:jc w:val="center"/>
    </w:pPr>
    <w:rPr>
      <w:rFonts w:ascii="Times New Roman" w:eastAsia="Times New Roman" w:hAnsi="Times New Roman" w:cs="Times New Roman"/>
      <w:b/>
      <w:szCs w:val="20"/>
      <w:lang w:bidi="ar-SA"/>
    </w:rPr>
  </w:style>
  <w:style w:type="character" w:customStyle="1" w:styleId="Heading2Char">
    <w:name w:val="Heading 2 Char"/>
    <w:basedOn w:val="DefaultParagraphFont"/>
    <w:link w:val="Heading2"/>
    <w:uiPriority w:val="9"/>
    <w:semiHidden/>
    <w:rsid w:val="000A516D"/>
    <w:rPr>
      <w:rFonts w:asciiTheme="majorHAnsi" w:eastAsiaTheme="majorEastAsia" w:hAnsiTheme="majorHAnsi" w:cstheme="majorBidi"/>
      <w:color w:val="2F5496" w:themeColor="accent1" w:themeShade="BF"/>
      <w:sz w:val="26"/>
      <w:szCs w:val="26"/>
      <w:lang w:eastAsia="en-AU" w:bidi="en-AU"/>
    </w:rPr>
  </w:style>
  <w:style w:type="paragraph" w:styleId="Revision">
    <w:name w:val="Revision"/>
    <w:hidden/>
    <w:uiPriority w:val="99"/>
    <w:semiHidden/>
    <w:rsid w:val="00B44643"/>
    <w:pPr>
      <w:spacing w:after="0" w:line="240" w:lineRule="auto"/>
    </w:pPr>
    <w:rPr>
      <w:rFonts w:ascii="Century Gothic" w:eastAsia="Century Gothic" w:hAnsi="Century Gothic" w:cs="Century Gothic"/>
      <w:lang w:eastAsia="en-AU" w:bidi="en-AU"/>
    </w:rPr>
  </w:style>
  <w:style w:type="paragraph" w:customStyle="1" w:styleId="Tablelabel">
    <w:name w:val="Table label"/>
    <w:basedOn w:val="Normal"/>
    <w:rsid w:val="00BA1FC5"/>
    <w:pPr>
      <w:widowControl/>
      <w:autoSpaceDE/>
      <w:autoSpaceDN/>
      <w:spacing w:before="120" w:after="80"/>
      <w:ind w:left="113"/>
    </w:pPr>
    <w:rPr>
      <w:rFonts w:ascii="Arial" w:eastAsia="Times New Roman" w:hAnsi="Arial" w:cs="Times New Roman"/>
      <w:b/>
      <w:color w:val="FFFFFF"/>
      <w:sz w:val="18"/>
      <w:szCs w:val="20"/>
      <w:lang w:bidi="ar-SA"/>
    </w:rPr>
  </w:style>
  <w:style w:type="paragraph" w:customStyle="1" w:styleId="Tabletext">
    <w:name w:val="Table text"/>
    <w:rsid w:val="00BA1FC5"/>
    <w:pPr>
      <w:spacing w:before="60" w:after="60" w:line="240" w:lineRule="auto"/>
      <w:jc w:val="both"/>
    </w:pPr>
    <w:rPr>
      <w:rFonts w:ascii="Arial" w:eastAsia="Times New Roman" w:hAnsi="Arial" w:cs="Times New Roman"/>
      <w:sz w:val="18"/>
      <w:szCs w:val="20"/>
      <w:lang w:eastAsia="en-AU"/>
    </w:rPr>
  </w:style>
  <w:style w:type="character" w:customStyle="1" w:styleId="UnresolvedMention1">
    <w:name w:val="Unresolved Mention1"/>
    <w:basedOn w:val="DefaultParagraphFont"/>
    <w:uiPriority w:val="99"/>
    <w:unhideWhenUsed/>
    <w:rsid w:val="00ED2F1F"/>
    <w:rPr>
      <w:color w:val="605E5C"/>
      <w:shd w:val="clear" w:color="auto" w:fill="E1DFDD"/>
    </w:rPr>
  </w:style>
  <w:style w:type="character" w:customStyle="1" w:styleId="Mention1">
    <w:name w:val="Mention1"/>
    <w:basedOn w:val="DefaultParagraphFont"/>
    <w:uiPriority w:val="99"/>
    <w:unhideWhenUsed/>
    <w:rsid w:val="00ED2F1F"/>
    <w:rPr>
      <w:color w:val="2B579A"/>
      <w:shd w:val="clear" w:color="auto" w:fill="E1DFDD"/>
    </w:rPr>
  </w:style>
  <w:style w:type="character" w:styleId="FollowedHyperlink">
    <w:name w:val="FollowedHyperlink"/>
    <w:basedOn w:val="DefaultParagraphFont"/>
    <w:uiPriority w:val="99"/>
    <w:semiHidden/>
    <w:unhideWhenUsed/>
    <w:rsid w:val="00051765"/>
    <w:rPr>
      <w:color w:val="954F72" w:themeColor="followedHyperlink"/>
      <w:u w:val="single"/>
    </w:rPr>
  </w:style>
  <w:style w:type="paragraph" w:customStyle="1" w:styleId="Default">
    <w:name w:val="Default"/>
    <w:rsid w:val="00B051F9"/>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paragraph" w:styleId="ListBullet">
    <w:name w:val="List Bullet"/>
    <w:basedOn w:val="Normal"/>
    <w:uiPriority w:val="4"/>
    <w:qFormat/>
    <w:rsid w:val="00F93FB5"/>
    <w:pPr>
      <w:widowControl/>
      <w:numPr>
        <w:numId w:val="13"/>
      </w:numPr>
      <w:autoSpaceDE/>
      <w:autoSpaceDN/>
      <w:spacing w:after="120" w:line="240" w:lineRule="atLeast"/>
    </w:pPr>
    <w:rPr>
      <w:rFonts w:ascii="Arial" w:hAnsi="Arial" w:cs="Times New Roman"/>
      <w:color w:val="000000"/>
      <w:sz w:val="19"/>
      <w:szCs w:val="20"/>
      <w:lang w:eastAsia="en-US" w:bidi="ar-SA"/>
    </w:rPr>
  </w:style>
  <w:style w:type="paragraph" w:styleId="ListBullet2">
    <w:name w:val="List Bullet 2"/>
    <w:basedOn w:val="Normal"/>
    <w:uiPriority w:val="4"/>
    <w:rsid w:val="00F93FB5"/>
    <w:pPr>
      <w:widowControl/>
      <w:numPr>
        <w:ilvl w:val="1"/>
        <w:numId w:val="13"/>
      </w:numPr>
      <w:tabs>
        <w:tab w:val="num" w:pos="360"/>
      </w:tabs>
      <w:autoSpaceDE/>
      <w:autoSpaceDN/>
      <w:spacing w:after="120" w:line="240" w:lineRule="atLeast"/>
      <w:ind w:left="360" w:hanging="360"/>
    </w:pPr>
    <w:rPr>
      <w:rFonts w:ascii="Arial" w:hAnsi="Arial" w:cs="Times New Roman"/>
      <w:color w:val="000000"/>
      <w:sz w:val="19"/>
      <w:szCs w:val="20"/>
      <w:lang w:eastAsia="en-US" w:bidi="ar-SA"/>
    </w:rPr>
  </w:style>
  <w:style w:type="paragraph" w:styleId="ListBullet3">
    <w:name w:val="List Bullet 3"/>
    <w:basedOn w:val="Normal"/>
    <w:uiPriority w:val="4"/>
    <w:rsid w:val="00F93FB5"/>
    <w:pPr>
      <w:widowControl/>
      <w:numPr>
        <w:ilvl w:val="2"/>
        <w:numId w:val="13"/>
      </w:numPr>
      <w:tabs>
        <w:tab w:val="num" w:pos="360"/>
      </w:tabs>
      <w:autoSpaceDE/>
      <w:autoSpaceDN/>
      <w:spacing w:after="120" w:line="240" w:lineRule="atLeast"/>
      <w:ind w:left="360" w:hanging="360"/>
    </w:pPr>
    <w:rPr>
      <w:rFonts w:ascii="Arial" w:hAnsi="Arial" w:cs="Times New Roman"/>
      <w:color w:val="000000"/>
      <w:sz w:val="19"/>
      <w:szCs w:val="20"/>
      <w:lang w:eastAsia="en-US" w:bidi="ar-SA"/>
    </w:rPr>
  </w:style>
  <w:style w:type="paragraph" w:styleId="ListBullet4">
    <w:name w:val="List Bullet 4"/>
    <w:basedOn w:val="Normal"/>
    <w:uiPriority w:val="98"/>
    <w:rsid w:val="00F93FB5"/>
    <w:pPr>
      <w:widowControl/>
      <w:numPr>
        <w:ilvl w:val="3"/>
        <w:numId w:val="13"/>
      </w:numPr>
      <w:tabs>
        <w:tab w:val="num" w:pos="360"/>
      </w:tabs>
      <w:autoSpaceDE/>
      <w:autoSpaceDN/>
      <w:spacing w:after="79" w:line="240" w:lineRule="atLeast"/>
      <w:ind w:left="360" w:hanging="360"/>
      <w:contextualSpacing/>
    </w:pPr>
    <w:rPr>
      <w:rFonts w:ascii="Arial" w:hAnsi="Arial" w:cs="Times New Roman"/>
      <w:color w:val="000000"/>
      <w:sz w:val="19"/>
      <w:szCs w:val="20"/>
      <w:lang w:eastAsia="en-US" w:bidi="ar-SA"/>
    </w:rPr>
  </w:style>
  <w:style w:type="paragraph" w:styleId="ListBullet5">
    <w:name w:val="List Bullet 5"/>
    <w:basedOn w:val="Normal"/>
    <w:uiPriority w:val="98"/>
    <w:rsid w:val="00F93FB5"/>
    <w:pPr>
      <w:widowControl/>
      <w:numPr>
        <w:ilvl w:val="4"/>
        <w:numId w:val="13"/>
      </w:numPr>
      <w:tabs>
        <w:tab w:val="num" w:pos="360"/>
      </w:tabs>
      <w:autoSpaceDE/>
      <w:autoSpaceDN/>
      <w:spacing w:after="79" w:line="240" w:lineRule="atLeast"/>
      <w:ind w:left="360" w:hanging="360"/>
      <w:contextualSpacing/>
    </w:pPr>
    <w:rPr>
      <w:rFonts w:ascii="Arial" w:hAnsi="Arial" w:cs="Times New Roman"/>
      <w:color w:val="000000"/>
      <w:sz w:val="19"/>
      <w:szCs w:val="20"/>
      <w:lang w:eastAsia="en-US" w:bidi="ar-SA"/>
    </w:rPr>
  </w:style>
  <w:style w:type="numbering" w:customStyle="1" w:styleId="ETHOSBullets">
    <w:name w:val="ETHOS Bullets"/>
    <w:uiPriority w:val="99"/>
    <w:rsid w:val="00F93FB5"/>
    <w:pPr>
      <w:numPr>
        <w:numId w:val="13"/>
      </w:numPr>
    </w:pPr>
  </w:style>
  <w:style w:type="paragraph" w:styleId="BalloonText">
    <w:name w:val="Balloon Text"/>
    <w:basedOn w:val="Normal"/>
    <w:link w:val="BalloonTextChar"/>
    <w:uiPriority w:val="99"/>
    <w:semiHidden/>
    <w:unhideWhenUsed/>
    <w:rsid w:val="003A2F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F4C"/>
    <w:rPr>
      <w:rFonts w:ascii="Segoe UI" w:eastAsia="Century Gothic" w:hAnsi="Segoe UI" w:cs="Segoe UI"/>
      <w:sz w:val="18"/>
      <w:szCs w:val="18"/>
      <w:lang w:eastAsia="en-AU" w:bidi="en-AU"/>
    </w:rPr>
  </w:style>
  <w:style w:type="paragraph" w:customStyle="1" w:styleId="CharChar1">
    <w:name w:val="Char Char1"/>
    <w:basedOn w:val="Normal"/>
    <w:rsid w:val="00C50D75"/>
    <w:pPr>
      <w:widowControl/>
      <w:autoSpaceDE/>
      <w:autoSpaceDN/>
      <w:spacing w:after="160" w:line="240" w:lineRule="exact"/>
    </w:pPr>
    <w:rPr>
      <w:rFonts w:ascii="Tahoma" w:eastAsia="Times New Roman" w:hAnsi="Tahoma" w:cs="Tahoma"/>
      <w:sz w:val="20"/>
      <w:szCs w:val="20"/>
      <w:lang w:val="en-US" w:eastAsia="en-US" w:bidi="ar-SA"/>
    </w:rPr>
  </w:style>
  <w:style w:type="paragraph" w:styleId="NormalWeb">
    <w:name w:val="Normal (Web)"/>
    <w:basedOn w:val="Normal"/>
    <w:uiPriority w:val="99"/>
    <w:unhideWhenUsed/>
    <w:rsid w:val="00BC595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1Char">
    <w:name w:val="Heading 1 Char"/>
    <w:basedOn w:val="DefaultParagraphFont"/>
    <w:link w:val="Heading1"/>
    <w:uiPriority w:val="9"/>
    <w:rsid w:val="00A23E4D"/>
    <w:rPr>
      <w:rFonts w:asciiTheme="majorHAnsi" w:eastAsiaTheme="majorEastAsia" w:hAnsiTheme="majorHAnsi" w:cstheme="majorBidi"/>
      <w:color w:val="2F5496" w:themeColor="accent1" w:themeShade="BF"/>
      <w:sz w:val="32"/>
      <w:szCs w:val="32"/>
      <w:lang w:eastAsia="en-AU" w:bidi="en-AU"/>
    </w:rPr>
  </w:style>
  <w:style w:type="paragraph" w:customStyle="1" w:styleId="Bullet1">
    <w:name w:val="Bullet 1"/>
    <w:basedOn w:val="Normal"/>
    <w:uiPriority w:val="99"/>
    <w:rsid w:val="00A229E1"/>
    <w:pPr>
      <w:widowControl/>
      <w:numPr>
        <w:numId w:val="16"/>
      </w:numPr>
      <w:suppressAutoHyphens/>
      <w:adjustRightInd w:val="0"/>
      <w:spacing w:after="200"/>
    </w:pPr>
    <w:rPr>
      <w:rFonts w:ascii="Arial" w:eastAsia="Times New Roman" w:hAnsi="Arial" w:cs="Arial"/>
      <w:color w:val="000000"/>
      <w:sz w:val="20"/>
      <w:szCs w:val="20"/>
      <w:lang w:val="en-GB" w:bidi="ar-SA"/>
    </w:rPr>
  </w:style>
  <w:style w:type="character" w:customStyle="1" w:styleId="Heading3Char">
    <w:name w:val="Heading 3 Char"/>
    <w:basedOn w:val="DefaultParagraphFont"/>
    <w:link w:val="Heading3"/>
    <w:uiPriority w:val="9"/>
    <w:semiHidden/>
    <w:rsid w:val="00856AB1"/>
    <w:rPr>
      <w:rFonts w:asciiTheme="majorHAnsi" w:eastAsiaTheme="majorEastAsia" w:hAnsiTheme="majorHAnsi" w:cstheme="majorBidi"/>
      <w:color w:val="1F3763" w:themeColor="accent1" w:themeShade="7F"/>
      <w:sz w:val="24"/>
      <w:szCs w:val="24"/>
      <w:lang w:eastAsia="en-AU" w:bidi="en-AU"/>
    </w:rPr>
  </w:style>
  <w:style w:type="paragraph" w:customStyle="1" w:styleId="Bulletlist">
    <w:name w:val="Bullet list"/>
    <w:basedOn w:val="ListParagraph"/>
    <w:uiPriority w:val="3"/>
    <w:rsid w:val="00621929"/>
    <w:pPr>
      <w:numPr>
        <w:numId w:val="27"/>
      </w:numPr>
      <w:spacing w:before="120" w:after="120" w:line="276" w:lineRule="auto"/>
      <w:contextualSpacing/>
    </w:pPr>
    <w:rPr>
      <w:rFonts w:ascii="Arial" w:hAnsi="Arial"/>
      <w:sz w:val="24"/>
    </w:rPr>
  </w:style>
  <w:style w:type="character" w:styleId="UnresolvedMention">
    <w:name w:val="Unresolved Mention"/>
    <w:basedOn w:val="DefaultParagraphFont"/>
    <w:uiPriority w:val="99"/>
    <w:semiHidden/>
    <w:unhideWhenUsed/>
    <w:rsid w:val="005036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55337">
      <w:bodyDiv w:val="1"/>
      <w:marLeft w:val="0"/>
      <w:marRight w:val="0"/>
      <w:marTop w:val="0"/>
      <w:marBottom w:val="0"/>
      <w:divBdr>
        <w:top w:val="none" w:sz="0" w:space="0" w:color="auto"/>
        <w:left w:val="none" w:sz="0" w:space="0" w:color="auto"/>
        <w:bottom w:val="none" w:sz="0" w:space="0" w:color="auto"/>
        <w:right w:val="none" w:sz="0" w:space="0" w:color="auto"/>
      </w:divBdr>
    </w:div>
    <w:div w:id="297926870">
      <w:bodyDiv w:val="1"/>
      <w:marLeft w:val="0"/>
      <w:marRight w:val="0"/>
      <w:marTop w:val="0"/>
      <w:marBottom w:val="0"/>
      <w:divBdr>
        <w:top w:val="none" w:sz="0" w:space="0" w:color="auto"/>
        <w:left w:val="none" w:sz="0" w:space="0" w:color="auto"/>
        <w:bottom w:val="none" w:sz="0" w:space="0" w:color="auto"/>
        <w:right w:val="none" w:sz="0" w:space="0" w:color="auto"/>
      </w:divBdr>
      <w:divsChild>
        <w:div w:id="472016934">
          <w:marLeft w:val="0"/>
          <w:marRight w:val="0"/>
          <w:marTop w:val="0"/>
          <w:marBottom w:val="0"/>
          <w:divBdr>
            <w:top w:val="none" w:sz="0" w:space="0" w:color="auto"/>
            <w:left w:val="none" w:sz="0" w:space="0" w:color="auto"/>
            <w:bottom w:val="none" w:sz="0" w:space="0" w:color="auto"/>
            <w:right w:val="none" w:sz="0" w:space="0" w:color="auto"/>
          </w:divBdr>
        </w:div>
      </w:divsChild>
    </w:div>
    <w:div w:id="465465252">
      <w:bodyDiv w:val="1"/>
      <w:marLeft w:val="0"/>
      <w:marRight w:val="0"/>
      <w:marTop w:val="0"/>
      <w:marBottom w:val="0"/>
      <w:divBdr>
        <w:top w:val="none" w:sz="0" w:space="0" w:color="auto"/>
        <w:left w:val="none" w:sz="0" w:space="0" w:color="auto"/>
        <w:bottom w:val="none" w:sz="0" w:space="0" w:color="auto"/>
        <w:right w:val="none" w:sz="0" w:space="0" w:color="auto"/>
      </w:divBdr>
    </w:div>
    <w:div w:id="541989346">
      <w:bodyDiv w:val="1"/>
      <w:marLeft w:val="0"/>
      <w:marRight w:val="0"/>
      <w:marTop w:val="0"/>
      <w:marBottom w:val="0"/>
      <w:divBdr>
        <w:top w:val="none" w:sz="0" w:space="0" w:color="auto"/>
        <w:left w:val="none" w:sz="0" w:space="0" w:color="auto"/>
        <w:bottom w:val="none" w:sz="0" w:space="0" w:color="auto"/>
        <w:right w:val="none" w:sz="0" w:space="0" w:color="auto"/>
      </w:divBdr>
    </w:div>
    <w:div w:id="616563708">
      <w:bodyDiv w:val="1"/>
      <w:marLeft w:val="0"/>
      <w:marRight w:val="0"/>
      <w:marTop w:val="0"/>
      <w:marBottom w:val="0"/>
      <w:divBdr>
        <w:top w:val="none" w:sz="0" w:space="0" w:color="auto"/>
        <w:left w:val="none" w:sz="0" w:space="0" w:color="auto"/>
        <w:bottom w:val="none" w:sz="0" w:space="0" w:color="auto"/>
        <w:right w:val="none" w:sz="0" w:space="0" w:color="auto"/>
      </w:divBdr>
    </w:div>
    <w:div w:id="922377366">
      <w:bodyDiv w:val="1"/>
      <w:marLeft w:val="0"/>
      <w:marRight w:val="0"/>
      <w:marTop w:val="0"/>
      <w:marBottom w:val="0"/>
      <w:divBdr>
        <w:top w:val="none" w:sz="0" w:space="0" w:color="auto"/>
        <w:left w:val="none" w:sz="0" w:space="0" w:color="auto"/>
        <w:bottom w:val="none" w:sz="0" w:space="0" w:color="auto"/>
        <w:right w:val="none" w:sz="0" w:space="0" w:color="auto"/>
      </w:divBdr>
    </w:div>
    <w:div w:id="1247764911">
      <w:bodyDiv w:val="1"/>
      <w:marLeft w:val="0"/>
      <w:marRight w:val="0"/>
      <w:marTop w:val="0"/>
      <w:marBottom w:val="0"/>
      <w:divBdr>
        <w:top w:val="none" w:sz="0" w:space="0" w:color="auto"/>
        <w:left w:val="none" w:sz="0" w:space="0" w:color="auto"/>
        <w:bottom w:val="none" w:sz="0" w:space="0" w:color="auto"/>
        <w:right w:val="none" w:sz="0" w:space="0" w:color="auto"/>
      </w:divBdr>
      <w:divsChild>
        <w:div w:id="372847378">
          <w:marLeft w:val="0"/>
          <w:marRight w:val="0"/>
          <w:marTop w:val="0"/>
          <w:marBottom w:val="0"/>
          <w:divBdr>
            <w:top w:val="none" w:sz="0" w:space="0" w:color="auto"/>
            <w:left w:val="none" w:sz="0" w:space="0" w:color="auto"/>
            <w:bottom w:val="none" w:sz="0" w:space="0" w:color="auto"/>
            <w:right w:val="none" w:sz="0" w:space="0" w:color="auto"/>
          </w:divBdr>
          <w:divsChild>
            <w:div w:id="56152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14383">
      <w:bodyDiv w:val="1"/>
      <w:marLeft w:val="0"/>
      <w:marRight w:val="0"/>
      <w:marTop w:val="0"/>
      <w:marBottom w:val="0"/>
      <w:divBdr>
        <w:top w:val="none" w:sz="0" w:space="0" w:color="auto"/>
        <w:left w:val="none" w:sz="0" w:space="0" w:color="auto"/>
        <w:bottom w:val="none" w:sz="0" w:space="0" w:color="auto"/>
        <w:right w:val="none" w:sz="0" w:space="0" w:color="auto"/>
      </w:divBdr>
    </w:div>
    <w:div w:id="1321084122">
      <w:bodyDiv w:val="1"/>
      <w:marLeft w:val="0"/>
      <w:marRight w:val="0"/>
      <w:marTop w:val="0"/>
      <w:marBottom w:val="0"/>
      <w:divBdr>
        <w:top w:val="none" w:sz="0" w:space="0" w:color="auto"/>
        <w:left w:val="none" w:sz="0" w:space="0" w:color="auto"/>
        <w:bottom w:val="none" w:sz="0" w:space="0" w:color="auto"/>
        <w:right w:val="none" w:sz="0" w:space="0" w:color="auto"/>
      </w:divBdr>
    </w:div>
    <w:div w:id="1370913243">
      <w:bodyDiv w:val="1"/>
      <w:marLeft w:val="0"/>
      <w:marRight w:val="0"/>
      <w:marTop w:val="0"/>
      <w:marBottom w:val="0"/>
      <w:divBdr>
        <w:top w:val="none" w:sz="0" w:space="0" w:color="auto"/>
        <w:left w:val="none" w:sz="0" w:space="0" w:color="auto"/>
        <w:bottom w:val="none" w:sz="0" w:space="0" w:color="auto"/>
        <w:right w:val="none" w:sz="0" w:space="0" w:color="auto"/>
      </w:divBdr>
    </w:div>
    <w:div w:id="1432506343">
      <w:bodyDiv w:val="1"/>
      <w:marLeft w:val="0"/>
      <w:marRight w:val="0"/>
      <w:marTop w:val="0"/>
      <w:marBottom w:val="0"/>
      <w:divBdr>
        <w:top w:val="none" w:sz="0" w:space="0" w:color="auto"/>
        <w:left w:val="none" w:sz="0" w:space="0" w:color="auto"/>
        <w:bottom w:val="none" w:sz="0" w:space="0" w:color="auto"/>
        <w:right w:val="none" w:sz="0" w:space="0" w:color="auto"/>
      </w:divBdr>
    </w:div>
    <w:div w:id="1483501078">
      <w:bodyDiv w:val="1"/>
      <w:marLeft w:val="0"/>
      <w:marRight w:val="0"/>
      <w:marTop w:val="0"/>
      <w:marBottom w:val="0"/>
      <w:divBdr>
        <w:top w:val="none" w:sz="0" w:space="0" w:color="auto"/>
        <w:left w:val="none" w:sz="0" w:space="0" w:color="auto"/>
        <w:bottom w:val="none" w:sz="0" w:space="0" w:color="auto"/>
        <w:right w:val="none" w:sz="0" w:space="0" w:color="auto"/>
      </w:divBdr>
    </w:div>
    <w:div w:id="1620650424">
      <w:bodyDiv w:val="1"/>
      <w:marLeft w:val="0"/>
      <w:marRight w:val="0"/>
      <w:marTop w:val="0"/>
      <w:marBottom w:val="0"/>
      <w:divBdr>
        <w:top w:val="none" w:sz="0" w:space="0" w:color="auto"/>
        <w:left w:val="none" w:sz="0" w:space="0" w:color="auto"/>
        <w:bottom w:val="none" w:sz="0" w:space="0" w:color="auto"/>
        <w:right w:val="none" w:sz="0" w:space="0" w:color="auto"/>
      </w:divBdr>
      <w:divsChild>
        <w:div w:id="2028670716">
          <w:marLeft w:val="0"/>
          <w:marRight w:val="0"/>
          <w:marTop w:val="0"/>
          <w:marBottom w:val="0"/>
          <w:divBdr>
            <w:top w:val="none" w:sz="0" w:space="0" w:color="auto"/>
            <w:left w:val="none" w:sz="0" w:space="0" w:color="auto"/>
            <w:bottom w:val="none" w:sz="0" w:space="0" w:color="auto"/>
            <w:right w:val="none" w:sz="0" w:space="0" w:color="auto"/>
          </w:divBdr>
          <w:divsChild>
            <w:div w:id="62307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45379">
      <w:bodyDiv w:val="1"/>
      <w:marLeft w:val="0"/>
      <w:marRight w:val="0"/>
      <w:marTop w:val="0"/>
      <w:marBottom w:val="0"/>
      <w:divBdr>
        <w:top w:val="none" w:sz="0" w:space="0" w:color="auto"/>
        <w:left w:val="none" w:sz="0" w:space="0" w:color="auto"/>
        <w:bottom w:val="none" w:sz="0" w:space="0" w:color="auto"/>
        <w:right w:val="none" w:sz="0" w:space="0" w:color="auto"/>
      </w:divBdr>
      <w:divsChild>
        <w:div w:id="2060398958">
          <w:marLeft w:val="0"/>
          <w:marRight w:val="0"/>
          <w:marTop w:val="0"/>
          <w:marBottom w:val="0"/>
          <w:divBdr>
            <w:top w:val="none" w:sz="0" w:space="0" w:color="auto"/>
            <w:left w:val="none" w:sz="0" w:space="0" w:color="auto"/>
            <w:bottom w:val="none" w:sz="0" w:space="0" w:color="auto"/>
            <w:right w:val="none" w:sz="0" w:space="0" w:color="auto"/>
          </w:divBdr>
          <w:divsChild>
            <w:div w:id="119677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9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participate.melbourne.vic.gov.au/amendment-c447" TargetMode="External"/><Relationship Id="rId18" Type="http://schemas.openxmlformats.org/officeDocument/2006/relationships/hyperlink" Target="http://www5.austlii.edu.au/au/legis/vic/consol_act/paea1987254/s3.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mailto:planning.policy@melbourne.vic.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participate.melbourne.vic.gov.au/amendment-c447" TargetMode="External"/><Relationship Id="rId10" Type="http://schemas.openxmlformats.org/officeDocument/2006/relationships/webSettings" Target="webSettings.xml"/><Relationship Id="rId19" Type="http://schemas.openxmlformats.org/officeDocument/2006/relationships/header" Target="header1.xml"/><Relationship Id="rId22" Type="http://schemas.openxmlformats.org/officeDocument/2006/relationships/theme" Target="theme/theme1.xml"/><Relationship Id="rId9" Type="http://schemas.openxmlformats.org/officeDocument/2006/relationships/settings" Target="settings.xml"/><Relationship Id="rId14" Type="http://schemas.openxmlformats.org/officeDocument/2006/relationships/hyperlink" Target="http://www.planning.vic.gov.au/public-insp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5" ma:contentTypeDescription="Create a new document." ma:contentTypeScope="" ma:versionID="487abcf06a5a787ad1a7ed905fd64041">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81aa5ea5bb672d761e08c8df80141a8c"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d804f86b-3500-4658-8c9d-99491f71a5e9" xsi:nil="true"/>
    <_dlc_DocId xmlns="d804f86b-3500-4658-8c9d-99491f71a5e9">TTF2X4MEUN6D-1188005670-6919</_dlc_DocId>
    <_dlc_DocIdUrl xmlns="d804f86b-3500-4658-8c9d-99491f71a5e9">
      <Url>https://cityofmelbourne.sharepoint.com/sites/commdev/_layouts/15/DocIdRedir.aspx?ID=TTF2X4MEUN6D-1188005670-6919</Url>
      <Description>TTF2X4MEUN6D-1188005670-6919</Description>
    </_dlc_DocIdUrl>
    <SharedWithUsers xmlns="d804f86b-3500-4658-8c9d-99491f71a5e9">
      <UserInfo>
        <DisplayName>Emma Bryant (DEECA)</DisplayName>
        <AccountId>598</AccountId>
        <AccountType/>
      </UserInfo>
    </SharedWithUsers>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Props1.xml><?xml version="1.0" encoding="utf-8"?>
<ds:datastoreItem xmlns:ds="http://schemas.openxmlformats.org/officeDocument/2006/customXml" ds:itemID="{DE1BB428-B3D3-4878-B349-4DF6C03AD78F}"/>
</file>

<file path=customXml/itemProps2.xml><?xml version="1.0" encoding="utf-8"?>
<ds:datastoreItem xmlns:ds="http://schemas.openxmlformats.org/officeDocument/2006/customXml" ds:itemID="{391EBE6A-C9CA-4933-8BEA-0C893F8E91C9}">
  <ds:schemaRefs>
    <ds:schemaRef ds:uri="http://schemas.microsoft.com/sharepoint/v3/contenttype/forms"/>
  </ds:schemaRefs>
</ds:datastoreItem>
</file>

<file path=customXml/itemProps3.xml><?xml version="1.0" encoding="utf-8"?>
<ds:datastoreItem xmlns:ds="http://schemas.openxmlformats.org/officeDocument/2006/customXml" ds:itemID="{D31B5B93-C2F2-41F9-B9FA-48D634653AF3}">
  <ds:schemaRefs>
    <ds:schemaRef ds:uri="http://schemas.openxmlformats.org/officeDocument/2006/bibliography"/>
  </ds:schemaRefs>
</ds:datastoreItem>
</file>

<file path=customXml/itemProps4.xml><?xml version="1.0" encoding="utf-8"?>
<ds:datastoreItem xmlns:ds="http://schemas.openxmlformats.org/officeDocument/2006/customXml" ds:itemID="{4B00A843-C27C-439C-80AC-D39129333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97A80E-8644-4501-B14C-BCEC8AAD7FB6}"/>
</file>

<file path=customXml/itemProps6.xml><?xml version="1.0" encoding="utf-8"?>
<ds:datastoreItem xmlns:ds="http://schemas.openxmlformats.org/officeDocument/2006/customXml" ds:itemID="{7E166E74-C565-4826-8D4B-A26F5FAB9484}">
  <ds:schemaRefs>
    <ds:schemaRef ds:uri="a5f32de4-e402-4188-b034-e71ca7d22e54"/>
    <ds:schemaRef ds:uri="http://schemas.microsoft.com/office/2006/documentManagement/types"/>
    <ds:schemaRef ds:uri="http://schemas.microsoft.com/office/2006/metadata/properties"/>
    <ds:schemaRef ds:uri="http://purl.org/dc/elements/1.1/"/>
    <ds:schemaRef ds:uri="http://schemas.microsoft.com/office/infopath/2007/PartnerControls"/>
    <ds:schemaRef ds:uri="9f250a92-4cb3-4475-b8ab-fbe3dd1bbf75"/>
    <ds:schemaRef ds:uri="http://schemas.openxmlformats.org/package/2006/metadata/core-properties"/>
    <ds:schemaRef ds:uri="9fd47c19-1c4a-4d7d-b342-c10cef269344"/>
    <ds:schemaRef ds:uri="http://purl.org/dc/terms/"/>
    <ds:schemaRef ds:uri="4bd58b96-cc7f-4c1b-801f-2bc3c6bd79d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2543</Words>
  <Characters>14455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16965</CharactersWithSpaces>
  <SharedDoc>false</SharedDoc>
  <HLinks>
    <vt:vector size="18" baseType="variant">
      <vt:variant>
        <vt:i4>65570</vt:i4>
      </vt:variant>
      <vt:variant>
        <vt:i4>6</vt:i4>
      </vt:variant>
      <vt:variant>
        <vt:i4>0</vt:i4>
      </vt:variant>
      <vt:variant>
        <vt:i4>5</vt:i4>
      </vt:variant>
      <vt:variant>
        <vt:lpwstr>http://www5.austlii.edu.au/au/legis/vic/consol_act/paea1987254/s3.html</vt:lpwstr>
      </vt:variant>
      <vt:variant>
        <vt:lpwstr>development</vt:lpwstr>
      </vt:variant>
      <vt:variant>
        <vt:i4>4915208</vt:i4>
      </vt:variant>
      <vt:variant>
        <vt:i4>3</vt:i4>
      </vt:variant>
      <vt:variant>
        <vt:i4>0</vt:i4>
      </vt:variant>
      <vt:variant>
        <vt:i4>5</vt:i4>
      </vt:variant>
      <vt:variant>
        <vt:lpwstr>http://www.planning.vic.gov.au/public-inspection</vt:lpwstr>
      </vt:variant>
      <vt:variant>
        <vt:lpwstr/>
      </vt:variant>
      <vt:variant>
        <vt:i4>786522</vt:i4>
      </vt:variant>
      <vt:variant>
        <vt:i4>0</vt:i4>
      </vt:variant>
      <vt:variant>
        <vt:i4>0</vt:i4>
      </vt:variant>
      <vt:variant>
        <vt:i4>5</vt:i4>
      </vt:variant>
      <vt:variant>
        <vt:lpwstr>https://participate.melbourne.vic.gov.au/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J Grimes (DELWP)</dc:creator>
  <cp:keywords/>
  <dc:description/>
  <cp:lastModifiedBy>Jill Cairnes</cp:lastModifiedBy>
  <cp:revision>2</cp:revision>
  <cp:lastPrinted>2024-06-07T00:20:00Z</cp:lastPrinted>
  <dcterms:created xsi:type="dcterms:W3CDTF">2024-06-11T00:36:00Z</dcterms:created>
  <dcterms:modified xsi:type="dcterms:W3CDTF">2024-06-11T00:36:00Z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g91c59fb10974fa1a03160ad8386f0f4">
    <vt:lpwstr/>
  </property>
  <property fmtid="{D5CDD505-2E9C-101B-9397-08002B2CF9AE}" pid="4" name="Records Class Project">
    <vt:lpwstr>48;#Policies and Procedures|106771be-6573-4a30-b5c8-d3b1f646d5eb</vt:lpwstr>
  </property>
  <property fmtid="{D5CDD505-2E9C-101B-9397-08002B2CF9AE}" pid="5" name="Department Document Type">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Record_x0020_Purpose">
    <vt:lpwstr/>
  </property>
  <property fmtid="{D5CDD505-2E9C-101B-9397-08002B2CF9AE}" pid="9" name="Record Purpose">
    <vt:lpwstr/>
  </property>
  <property fmtid="{D5CDD505-2E9C-101B-9397-08002B2CF9AE}" pid="10" name="MediaServiceImageTags">
    <vt:lpwstr/>
  </property>
  <property fmtid="{D5CDD505-2E9C-101B-9397-08002B2CF9AE}" pid="11" name="_dlc_DocIdItemGuid">
    <vt:lpwstr>eb44a4dc-a519-4e01-b8a1-ec811f3e6784</vt:lpwstr>
  </property>
  <property fmtid="{D5CDD505-2E9C-101B-9397-08002B2CF9AE}" pid="12" name="_docset_NoMedatataSyncRequired">
    <vt:lpwstr>False</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2023-08-15T01:45:48Z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ae30615e-104f-42c9-9f8a-b401e073872c</vt:lpwstr>
  </property>
  <property fmtid="{D5CDD505-2E9C-101B-9397-08002B2CF9AE}" pid="19" name="MSIP_Label_4257e2ab-f512-40e2-9c9a-c64247360765_ContentBits">
    <vt:lpwstr>2</vt:lpwstr>
  </property>
  <property fmtid="{D5CDD505-2E9C-101B-9397-08002B2CF9AE}" pid="20" name="GrammarlyDocumentId">
    <vt:lpwstr>b42b275dda62909adc381dc20071383a2291688202be6680c8716c1f74418f32</vt:lpwstr>
  </property>
  <property fmtid="{D5CDD505-2E9C-101B-9397-08002B2CF9AE}" pid="21" name="MSIP_Label_4dae423b-08b2-4fa7-b949-d5153bd7638d_Enabled">
    <vt:lpwstr>true</vt:lpwstr>
  </property>
  <property fmtid="{D5CDD505-2E9C-101B-9397-08002B2CF9AE}" pid="22" name="MSIP_Label_4dae423b-08b2-4fa7-b949-d5153bd7638d_SetDate">
    <vt:lpwstr>2023-11-21T04:30:50Z</vt:lpwstr>
  </property>
  <property fmtid="{D5CDD505-2E9C-101B-9397-08002B2CF9AE}" pid="23" name="MSIP_Label_4dae423b-08b2-4fa7-b949-d5153bd7638d_Method">
    <vt:lpwstr>Standard</vt:lpwstr>
  </property>
  <property fmtid="{D5CDD505-2E9C-101B-9397-08002B2CF9AE}" pid="24" name="MSIP_Label_4dae423b-08b2-4fa7-b949-d5153bd7638d_Name">
    <vt:lpwstr>Corporate</vt:lpwstr>
  </property>
  <property fmtid="{D5CDD505-2E9C-101B-9397-08002B2CF9AE}" pid="25" name="MSIP_Label_4dae423b-08b2-4fa7-b949-d5153bd7638d_SiteId">
    <vt:lpwstr>cf4d9338-900d-4f0b-af8c-5f1b13bfd285</vt:lpwstr>
  </property>
  <property fmtid="{D5CDD505-2E9C-101B-9397-08002B2CF9AE}" pid="26" name="MSIP_Label_4dae423b-08b2-4fa7-b949-d5153bd7638d_ActionId">
    <vt:lpwstr>ab768ec6-ff1a-4736-ab75-86102217cf6a</vt:lpwstr>
  </property>
  <property fmtid="{D5CDD505-2E9C-101B-9397-08002B2CF9AE}" pid="27" name="MSIP_Label_4dae423b-08b2-4fa7-b949-d5153bd7638d_ContentBits">
    <vt:lpwstr>0</vt:lpwstr>
  </property>
  <property fmtid="{D5CDD505-2E9C-101B-9397-08002B2CF9AE}" pid="28" name="eDOCS AutoSave">
    <vt:lpwstr/>
  </property>
</Properties>
</file>