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BA3" w:rsidRPr="00CC3BA3" w:rsidRDefault="00CC3BA3" w:rsidP="00CC3BA3">
      <w:pPr>
        <w:keepNext/>
        <w:keepLines/>
        <w:spacing w:before="320" w:after="160"/>
        <w:outlineLvl w:val="2"/>
        <w:rPr>
          <w:rFonts w:eastAsia="Yu Gothic Light" w:cs="Arial"/>
          <w:b/>
          <w:sz w:val="20"/>
          <w:szCs w:val="20"/>
          <w:lang w:eastAsia="en-US"/>
        </w:rPr>
      </w:pPr>
      <w:bookmarkStart w:id="0" w:name="_GoBack"/>
      <w:bookmarkEnd w:id="0"/>
      <w:r w:rsidRPr="00CC3BA3">
        <w:rPr>
          <w:rFonts w:eastAsia="Yu Gothic Light" w:cs="Arial"/>
          <w:b/>
          <w:sz w:val="20"/>
          <w:szCs w:val="20"/>
          <w:lang w:eastAsia="en-US"/>
        </w:rPr>
        <w:t>STATEMENT OF SIGNIFICANCE</w:t>
      </w:r>
    </w:p>
    <w:tbl>
      <w:tblPr>
        <w:tblW w:w="92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5916"/>
      </w:tblGrid>
      <w:tr w:rsidR="00CC3BA3" w:rsidRPr="00CC3BA3" w:rsidTr="001244C7">
        <w:tc>
          <w:tcPr>
            <w:tcW w:w="3402" w:type="dxa"/>
            <w:tcBorders>
              <w:left w:val="nil"/>
            </w:tcBorders>
            <w:shd w:val="clear" w:color="auto" w:fill="auto"/>
          </w:tcPr>
          <w:p w:rsidR="00CC3BA3" w:rsidRPr="00CC3BA3" w:rsidRDefault="00CC3BA3" w:rsidP="00CC3BA3">
            <w:pPr>
              <w:spacing w:before="120" w:after="160" w:line="240" w:lineRule="auto"/>
              <w:rPr>
                <w:rFonts w:cs="Arial"/>
                <w:sz w:val="20"/>
                <w:szCs w:val="20"/>
                <w:lang w:eastAsia="en-US"/>
              </w:rPr>
            </w:pPr>
            <w:r w:rsidRPr="00CC3BA3">
              <w:rPr>
                <w:rFonts w:cs="Arial"/>
                <w:b/>
                <w:sz w:val="20"/>
                <w:szCs w:val="20"/>
                <w:lang w:eastAsia="en-US"/>
              </w:rPr>
              <w:t xml:space="preserve">Heritage Place: </w:t>
            </w:r>
            <w:r w:rsidRPr="00CC3BA3">
              <w:rPr>
                <w:rFonts w:cs="Arial"/>
                <w:sz w:val="20"/>
                <w:szCs w:val="20"/>
                <w:lang w:eastAsia="en-US"/>
              </w:rPr>
              <w:t>Swanston Street South Precinct</w:t>
            </w:r>
            <w:r w:rsidRPr="00CC3BA3">
              <w:rPr>
                <w:sz w:val="18"/>
                <w:lang w:eastAsia="en-US"/>
              </w:rPr>
              <w:t xml:space="preserve"> </w:t>
            </w:r>
          </w:p>
          <w:p w:rsidR="00CC3BA3" w:rsidRPr="00CC3BA3" w:rsidRDefault="00CC3BA3" w:rsidP="00CC3BA3">
            <w:pPr>
              <w:spacing w:before="120" w:after="160" w:line="256" w:lineRule="auto"/>
              <w:rPr>
                <w:rFonts w:cs="Arial"/>
                <w:bCs/>
                <w:sz w:val="20"/>
                <w:szCs w:val="20"/>
                <w:lang w:eastAsia="en-US"/>
              </w:rPr>
            </w:pPr>
          </w:p>
        </w:tc>
        <w:tc>
          <w:tcPr>
            <w:tcW w:w="5888" w:type="dxa"/>
            <w:tcBorders>
              <w:right w:val="nil"/>
            </w:tcBorders>
            <w:shd w:val="clear" w:color="auto" w:fill="auto"/>
          </w:tcPr>
          <w:p w:rsidR="00CC3BA3" w:rsidRPr="00CC3BA3" w:rsidRDefault="00CC3BA3" w:rsidP="00CC3BA3">
            <w:pPr>
              <w:spacing w:before="120" w:after="160" w:line="256" w:lineRule="auto"/>
              <w:rPr>
                <w:rFonts w:cs="Arial"/>
                <w:bCs/>
                <w:sz w:val="20"/>
                <w:szCs w:val="20"/>
                <w:lang w:eastAsia="en-US"/>
              </w:rPr>
            </w:pPr>
            <w:r w:rsidRPr="00CC3BA3">
              <w:rPr>
                <w:rFonts w:cs="Arial"/>
                <w:b/>
                <w:sz w:val="20"/>
                <w:szCs w:val="20"/>
                <w:lang w:eastAsia="en-US"/>
              </w:rPr>
              <w:t xml:space="preserve">PS ref no: </w:t>
            </w:r>
            <w:r w:rsidRPr="00CC3BA3">
              <w:rPr>
                <w:sz w:val="20"/>
                <w:szCs w:val="20"/>
                <w:lang w:eastAsia="en-US"/>
              </w:rPr>
              <w:t>HO1289</w:t>
            </w:r>
          </w:p>
          <w:p w:rsidR="00CC3BA3" w:rsidRPr="00CC3BA3" w:rsidRDefault="00CC3BA3" w:rsidP="00CC3BA3">
            <w:pPr>
              <w:spacing w:before="120" w:after="160" w:line="256" w:lineRule="auto"/>
              <w:rPr>
                <w:rFonts w:cs="Arial"/>
                <w:bCs/>
                <w:sz w:val="20"/>
                <w:szCs w:val="20"/>
                <w:lang w:eastAsia="en-US"/>
              </w:rPr>
            </w:pPr>
            <w:r>
              <w:rPr>
                <w:noProof/>
                <w:sz w:val="18"/>
              </w:rPr>
              <w:drawing>
                <wp:inline distT="0" distB="0" distL="0" distR="0" wp14:anchorId="0D92D30A" wp14:editId="54B6E3D9">
                  <wp:extent cx="3609975" cy="2790825"/>
                  <wp:effectExtent l="0" t="0" r="9525" b="9525"/>
                  <wp:docPr id="1" name="Picture 1" descr="PRECINCT - Swanston Street South Precinct - Amended May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RECINCT - Swanston Street South Precinct - Amended May 2019"/>
                          <pic:cNvPicPr>
                            <a:picLocks noChangeAspect="1" noChangeArrowheads="1"/>
                          </pic:cNvPicPr>
                        </pic:nvPicPr>
                        <pic:blipFill>
                          <a:blip r:embed="rId8">
                            <a:extLst>
                              <a:ext uri="{28A0092B-C50C-407E-A947-70E740481C1C}">
                                <a14:useLocalDpi xmlns:a14="http://schemas.microsoft.com/office/drawing/2010/main" val="0"/>
                              </a:ext>
                            </a:extLst>
                          </a:blip>
                          <a:srcRect l="6445" t="2528" r="5949" b="2528"/>
                          <a:stretch>
                            <a:fillRect/>
                          </a:stretch>
                        </pic:blipFill>
                        <pic:spPr bwMode="auto">
                          <a:xfrm>
                            <a:off x="0" y="0"/>
                            <a:ext cx="3609975" cy="2790825"/>
                          </a:xfrm>
                          <a:prstGeom prst="rect">
                            <a:avLst/>
                          </a:prstGeom>
                          <a:noFill/>
                          <a:ln>
                            <a:noFill/>
                          </a:ln>
                        </pic:spPr>
                      </pic:pic>
                    </a:graphicData>
                  </a:graphic>
                </wp:inline>
              </w:drawing>
            </w:r>
          </w:p>
        </w:tc>
      </w:tr>
    </w:tbl>
    <w:p w:rsidR="00CC3BA3" w:rsidRPr="00CC3BA3" w:rsidRDefault="00CC3BA3" w:rsidP="00CC3BA3">
      <w:pPr>
        <w:pBdr>
          <w:bottom w:val="single" w:sz="4" w:space="1" w:color="auto"/>
        </w:pBdr>
        <w:spacing w:before="120" w:after="160" w:line="256" w:lineRule="auto"/>
        <w:rPr>
          <w:rFonts w:cs="Arial"/>
          <w:b/>
          <w:sz w:val="20"/>
          <w:szCs w:val="20"/>
          <w:lang w:eastAsia="en-US"/>
        </w:rPr>
      </w:pPr>
      <w:r w:rsidRPr="00CC3BA3">
        <w:rPr>
          <w:rFonts w:cs="Arial"/>
          <w:b/>
          <w:sz w:val="20"/>
          <w:szCs w:val="20"/>
          <w:lang w:eastAsia="en-US"/>
        </w:rPr>
        <w:t>What is significant?</w:t>
      </w:r>
    </w:p>
    <w:p w:rsidR="00CC3BA3" w:rsidRPr="00CC3BA3" w:rsidRDefault="00CC3BA3" w:rsidP="00CC3BA3">
      <w:pPr>
        <w:spacing w:after="120" w:line="360" w:lineRule="auto"/>
        <w:rPr>
          <w:rFonts w:cs="Arial"/>
          <w:bCs/>
          <w:sz w:val="20"/>
          <w:szCs w:val="20"/>
          <w:lang w:eastAsia="en-US"/>
        </w:rPr>
      </w:pPr>
      <w:r w:rsidRPr="00CC3BA3">
        <w:rPr>
          <w:rFonts w:cs="Arial"/>
          <w:bCs/>
          <w:sz w:val="20"/>
          <w:szCs w:val="20"/>
          <w:lang w:eastAsia="en-US"/>
        </w:rPr>
        <w:t>The Swanston Street South precinct comprising commercial buildings including 135-165 Swanston Street, 144-174 Swanston Street, Melbourne, is significant. This section of Swanston Street is distinguished by its almost continuous run of buildings from the nineteenth and early twentieth century on the west side, including two individ</w:t>
      </w:r>
      <w:r w:rsidRPr="00CC3BA3">
        <w:rPr>
          <w:rFonts w:cs="Arial"/>
          <w:bCs/>
          <w:sz w:val="20"/>
          <w:szCs w:val="20"/>
          <w:lang w:eastAsia="en-US"/>
        </w:rPr>
        <w:softHyphen/>
      </w:r>
      <w:r w:rsidRPr="00CC3BA3">
        <w:rPr>
          <w:rFonts w:cs="Arial"/>
          <w:bCs/>
          <w:sz w:val="20"/>
          <w:szCs w:val="20"/>
          <w:lang w:eastAsia="en-US"/>
        </w:rPr>
        <w:softHyphen/>
        <w:t xml:space="preserve">ually significant seven-storey landmark places; and its two rows of Victorian-era buildings on the east side. </w:t>
      </w:r>
    </w:p>
    <w:p w:rsidR="00CC3BA3" w:rsidRPr="00CC3BA3" w:rsidRDefault="00CC3BA3" w:rsidP="00CC3BA3">
      <w:pPr>
        <w:spacing w:after="120" w:line="360" w:lineRule="auto"/>
        <w:rPr>
          <w:rFonts w:cs="Arial"/>
          <w:bCs/>
          <w:sz w:val="20"/>
          <w:szCs w:val="20"/>
          <w:lang w:eastAsia="en-US"/>
        </w:rPr>
      </w:pPr>
      <w:r w:rsidRPr="00CC3BA3">
        <w:rPr>
          <w:rFonts w:cs="Arial"/>
          <w:bCs/>
          <w:sz w:val="20"/>
          <w:szCs w:val="20"/>
          <w:lang w:eastAsia="en-US"/>
        </w:rPr>
        <w:t>Elements that contribute to the significance of the precinct include (but are not limited to):</w:t>
      </w:r>
    </w:p>
    <w:p w:rsidR="00CC3BA3" w:rsidRPr="00DB730A" w:rsidRDefault="00CC3BA3" w:rsidP="00DB730A">
      <w:pPr>
        <w:pStyle w:val="ListParagraph"/>
        <w:numPr>
          <w:ilvl w:val="0"/>
          <w:numId w:val="1"/>
        </w:numPr>
        <w:spacing w:after="160" w:line="360" w:lineRule="auto"/>
        <w:rPr>
          <w:rFonts w:cs="Arial"/>
          <w:bCs/>
          <w:sz w:val="20"/>
          <w:szCs w:val="20"/>
          <w:lang w:eastAsia="en-US"/>
        </w:rPr>
      </w:pPr>
      <w:r w:rsidRPr="00DB730A">
        <w:rPr>
          <w:rFonts w:cs="Arial"/>
          <w:bCs/>
          <w:sz w:val="20"/>
          <w:szCs w:val="20"/>
          <w:lang w:eastAsia="en-US"/>
        </w:rPr>
        <w:t>The small scale commercial buildings constructed from c1888 to c1938, as shown on the precinct map;</w:t>
      </w:r>
    </w:p>
    <w:p w:rsidR="00CC3BA3" w:rsidRPr="00DB730A" w:rsidRDefault="00CC3BA3" w:rsidP="00DB730A">
      <w:pPr>
        <w:pStyle w:val="ListParagraph"/>
        <w:numPr>
          <w:ilvl w:val="0"/>
          <w:numId w:val="1"/>
        </w:numPr>
        <w:spacing w:after="160" w:line="360" w:lineRule="auto"/>
        <w:rPr>
          <w:rFonts w:cs="Arial"/>
          <w:bCs/>
          <w:sz w:val="20"/>
          <w:szCs w:val="20"/>
          <w:lang w:eastAsia="en-US"/>
        </w:rPr>
      </w:pPr>
      <w:r w:rsidRPr="00DB730A">
        <w:rPr>
          <w:rFonts w:cs="Arial"/>
          <w:bCs/>
          <w:sz w:val="20"/>
          <w:szCs w:val="20"/>
          <w:lang w:eastAsia="en-US"/>
        </w:rPr>
        <w:t>The pattern of development in the precinct which comprises a mixed streetscape of Victorian, Federation and interwar commercial buildings, and the key features and original detailing characteristic of their respective styles;</w:t>
      </w:r>
    </w:p>
    <w:p w:rsidR="00CC3BA3" w:rsidRPr="00DB730A" w:rsidRDefault="00CC3BA3" w:rsidP="00DB730A">
      <w:pPr>
        <w:pStyle w:val="ListParagraph"/>
        <w:numPr>
          <w:ilvl w:val="0"/>
          <w:numId w:val="1"/>
        </w:numPr>
        <w:spacing w:after="160" w:line="360" w:lineRule="auto"/>
        <w:rPr>
          <w:rFonts w:cs="Arial"/>
          <w:bCs/>
          <w:sz w:val="20"/>
          <w:szCs w:val="20"/>
          <w:lang w:eastAsia="en-US"/>
        </w:rPr>
      </w:pPr>
      <w:r w:rsidRPr="00DB730A">
        <w:rPr>
          <w:rFonts w:cs="Arial"/>
          <w:bCs/>
          <w:sz w:val="20"/>
          <w:szCs w:val="20"/>
          <w:lang w:eastAsia="en-US"/>
        </w:rPr>
        <w:t>The overall consistency of built form (predominately two- to three-storey scale), materials and detailing (masonry construction, stucco detailing), and siting (narrow allotments, predominately low-rise streetscape bookmarked at each end by two landmark buildings on the west side);</w:t>
      </w:r>
    </w:p>
    <w:p w:rsidR="00CC3BA3" w:rsidRPr="00DB730A" w:rsidRDefault="00CC3BA3" w:rsidP="00DB730A">
      <w:pPr>
        <w:pStyle w:val="ListParagraph"/>
        <w:numPr>
          <w:ilvl w:val="0"/>
          <w:numId w:val="1"/>
        </w:numPr>
        <w:spacing w:after="160" w:line="360" w:lineRule="auto"/>
        <w:rPr>
          <w:rFonts w:cs="Arial"/>
          <w:bCs/>
          <w:sz w:val="20"/>
          <w:szCs w:val="20"/>
          <w:lang w:eastAsia="en-US"/>
        </w:rPr>
      </w:pPr>
      <w:r w:rsidRPr="00DB730A">
        <w:rPr>
          <w:rFonts w:cs="Arial"/>
          <w:bCs/>
          <w:sz w:val="20"/>
          <w:szCs w:val="20"/>
          <w:lang w:eastAsia="en-US"/>
        </w:rPr>
        <w:t>The Edwardian shopfront at 161 Swanston Street; and</w:t>
      </w:r>
    </w:p>
    <w:p w:rsidR="00CC3BA3" w:rsidRPr="00DB730A" w:rsidRDefault="00CC3BA3" w:rsidP="00DB730A">
      <w:pPr>
        <w:pStyle w:val="ListParagraph"/>
        <w:numPr>
          <w:ilvl w:val="0"/>
          <w:numId w:val="1"/>
        </w:numPr>
        <w:spacing w:after="160" w:line="360" w:lineRule="auto"/>
        <w:rPr>
          <w:rFonts w:cs="Arial"/>
          <w:bCs/>
          <w:sz w:val="20"/>
          <w:szCs w:val="20"/>
          <w:lang w:eastAsia="en-US"/>
        </w:rPr>
      </w:pPr>
      <w:r w:rsidRPr="00DB730A">
        <w:rPr>
          <w:rFonts w:cs="Arial"/>
          <w:bCs/>
          <w:sz w:val="20"/>
          <w:szCs w:val="20"/>
          <w:lang w:eastAsia="en-US"/>
        </w:rPr>
        <w:t>The laneway rear aspects of the buildings to Mason Lane and Rainbow Alley.</w:t>
      </w:r>
    </w:p>
    <w:p w:rsidR="00CC3BA3" w:rsidRPr="00CC3BA3" w:rsidRDefault="00CC3BA3" w:rsidP="00CC3BA3">
      <w:pPr>
        <w:spacing w:after="120" w:line="360" w:lineRule="auto"/>
        <w:rPr>
          <w:sz w:val="20"/>
          <w:szCs w:val="24"/>
          <w:lang w:eastAsia="en-US"/>
        </w:rPr>
      </w:pPr>
      <w:r w:rsidRPr="00CC3BA3">
        <w:rPr>
          <w:sz w:val="20"/>
          <w:szCs w:val="24"/>
          <w:lang w:eastAsia="en-US"/>
        </w:rPr>
        <w:t>The buildings at 139-141, 143, 155, 157-159, 161 and 146, 148, 150, 166, 168, 172, 174 Swanston Street are contributory.</w:t>
      </w:r>
    </w:p>
    <w:p w:rsidR="00CC3BA3" w:rsidRPr="00CC3BA3" w:rsidRDefault="00CC3BA3" w:rsidP="00CC3BA3">
      <w:pPr>
        <w:spacing w:after="120" w:line="360" w:lineRule="auto"/>
        <w:rPr>
          <w:sz w:val="20"/>
          <w:szCs w:val="24"/>
          <w:lang w:eastAsia="en-US"/>
        </w:rPr>
      </w:pPr>
      <w:r w:rsidRPr="00CC3BA3">
        <w:rPr>
          <w:sz w:val="20"/>
          <w:szCs w:val="24"/>
          <w:lang w:eastAsia="en-US"/>
        </w:rPr>
        <w:t>The buildings at 135-137, 149-153, 163-165 and 152-156 Swanston Street are significant.</w:t>
      </w:r>
    </w:p>
    <w:p w:rsidR="00CC3BA3" w:rsidRPr="00CC3BA3" w:rsidRDefault="00CC3BA3" w:rsidP="00CC3BA3">
      <w:pPr>
        <w:spacing w:after="120" w:line="360" w:lineRule="auto"/>
        <w:rPr>
          <w:sz w:val="20"/>
          <w:szCs w:val="24"/>
          <w:lang w:eastAsia="en-US"/>
        </w:rPr>
      </w:pPr>
      <w:r w:rsidRPr="00CC3BA3">
        <w:rPr>
          <w:sz w:val="20"/>
          <w:szCs w:val="24"/>
          <w:lang w:eastAsia="en-US"/>
        </w:rPr>
        <w:lastRenderedPageBreak/>
        <w:t xml:space="preserve">Non-original alterations and additions to the contributory buildings, including cantilevered </w:t>
      </w:r>
      <w:proofErr w:type="spellStart"/>
      <w:r w:rsidRPr="00CC3BA3">
        <w:rPr>
          <w:sz w:val="20"/>
          <w:szCs w:val="24"/>
          <w:lang w:eastAsia="en-US"/>
        </w:rPr>
        <w:t>verandahs</w:t>
      </w:r>
      <w:proofErr w:type="spellEnd"/>
      <w:r w:rsidRPr="00CC3BA3">
        <w:rPr>
          <w:sz w:val="20"/>
          <w:szCs w:val="24"/>
          <w:lang w:eastAsia="en-US"/>
        </w:rPr>
        <w:t>, are not significant.</w:t>
      </w:r>
    </w:p>
    <w:p w:rsidR="00CC3BA3" w:rsidRPr="00CC3BA3" w:rsidRDefault="00CC3BA3" w:rsidP="00CC3BA3">
      <w:pPr>
        <w:spacing w:after="120" w:line="360" w:lineRule="auto"/>
        <w:rPr>
          <w:sz w:val="20"/>
          <w:szCs w:val="24"/>
          <w:lang w:eastAsia="en-US"/>
        </w:rPr>
      </w:pPr>
      <w:r w:rsidRPr="00CC3BA3">
        <w:rPr>
          <w:sz w:val="20"/>
          <w:szCs w:val="24"/>
          <w:lang w:eastAsia="en-US"/>
        </w:rPr>
        <w:t>The buildings at 144, 145, 147 and 158-164 Swanston Street are non-contributory to the precinct.</w:t>
      </w:r>
    </w:p>
    <w:p w:rsidR="00CC3BA3" w:rsidRPr="00CC3BA3" w:rsidRDefault="00CC3BA3" w:rsidP="00CC3BA3">
      <w:pPr>
        <w:pBdr>
          <w:bottom w:val="single" w:sz="4" w:space="1" w:color="auto"/>
        </w:pBdr>
        <w:spacing w:after="120" w:line="360" w:lineRule="auto"/>
        <w:rPr>
          <w:rFonts w:cs="Arial"/>
          <w:b/>
          <w:sz w:val="20"/>
          <w:szCs w:val="20"/>
          <w:lang w:eastAsia="en-US"/>
        </w:rPr>
      </w:pPr>
      <w:r w:rsidRPr="00CC3BA3">
        <w:rPr>
          <w:rFonts w:cs="Arial"/>
          <w:b/>
          <w:sz w:val="20"/>
          <w:szCs w:val="20"/>
          <w:lang w:eastAsia="en-US"/>
        </w:rPr>
        <w:t>How it is significant?</w:t>
      </w:r>
    </w:p>
    <w:p w:rsidR="00CC3BA3" w:rsidRPr="00CC3BA3" w:rsidRDefault="00CC3BA3" w:rsidP="00CC3BA3">
      <w:pPr>
        <w:spacing w:after="120" w:line="360" w:lineRule="auto"/>
        <w:rPr>
          <w:rFonts w:cs="Arial"/>
          <w:bCs/>
          <w:sz w:val="20"/>
          <w:szCs w:val="20"/>
          <w:lang w:eastAsia="en-US"/>
        </w:rPr>
      </w:pPr>
      <w:r w:rsidRPr="00CC3BA3">
        <w:rPr>
          <w:rFonts w:cs="Arial"/>
          <w:bCs/>
          <w:sz w:val="20"/>
          <w:szCs w:val="20"/>
          <w:lang w:eastAsia="en-US"/>
        </w:rPr>
        <w:t xml:space="preserve">The Swanston Street South Precinct is of local historic, representative and aesthetic significance. </w:t>
      </w:r>
    </w:p>
    <w:p w:rsidR="00CC3BA3" w:rsidRPr="00CC3BA3" w:rsidRDefault="00CC3BA3" w:rsidP="00CC3BA3">
      <w:pPr>
        <w:pBdr>
          <w:bottom w:val="single" w:sz="4" w:space="1" w:color="auto"/>
        </w:pBdr>
        <w:spacing w:after="120" w:line="360" w:lineRule="auto"/>
        <w:rPr>
          <w:rFonts w:cs="Arial"/>
          <w:b/>
          <w:sz w:val="20"/>
          <w:szCs w:val="20"/>
          <w:lang w:eastAsia="en-US"/>
        </w:rPr>
      </w:pPr>
      <w:r w:rsidRPr="00CC3BA3">
        <w:rPr>
          <w:rFonts w:cs="Arial"/>
          <w:b/>
          <w:sz w:val="20"/>
          <w:szCs w:val="20"/>
          <w:lang w:eastAsia="en-US"/>
        </w:rPr>
        <w:t>Why it is significant?</w:t>
      </w:r>
    </w:p>
    <w:p w:rsidR="00CC3BA3" w:rsidRPr="00CC3BA3" w:rsidRDefault="00CC3BA3" w:rsidP="00CC3BA3">
      <w:pPr>
        <w:spacing w:after="120" w:line="360" w:lineRule="auto"/>
        <w:rPr>
          <w:rFonts w:cs="Arial"/>
          <w:bCs/>
          <w:sz w:val="20"/>
          <w:szCs w:val="20"/>
          <w:lang w:eastAsia="en-US"/>
        </w:rPr>
      </w:pPr>
      <w:r w:rsidRPr="00CC3BA3">
        <w:rPr>
          <w:rFonts w:cs="Arial"/>
          <w:bCs/>
          <w:sz w:val="20"/>
          <w:szCs w:val="20"/>
          <w:lang w:eastAsia="en-US"/>
        </w:rPr>
        <w:t xml:space="preserve">The Swanston Street South Precinct is within the retail area of the </w:t>
      </w:r>
      <w:bookmarkStart w:id="1" w:name="_Hlk11694253"/>
      <w:r w:rsidRPr="00CC3BA3">
        <w:rPr>
          <w:rFonts w:cs="Arial"/>
          <w:bCs/>
          <w:sz w:val="20"/>
          <w:szCs w:val="20"/>
          <w:lang w:eastAsia="en-US"/>
        </w:rPr>
        <w:t>central city</w:t>
      </w:r>
      <w:bookmarkEnd w:id="1"/>
      <w:r w:rsidRPr="00CC3BA3">
        <w:rPr>
          <w:rFonts w:cs="Arial"/>
          <w:bCs/>
          <w:sz w:val="20"/>
          <w:szCs w:val="20"/>
          <w:lang w:eastAsia="en-US"/>
        </w:rPr>
        <w:t xml:space="preserve">. It demonstrates the predominant land use of retailing that was established quite early in the development of the central city between Swanston and Elizabeth Streets. </w:t>
      </w:r>
    </w:p>
    <w:p w:rsidR="00CC3BA3" w:rsidRPr="00CC3BA3" w:rsidRDefault="00CC3BA3" w:rsidP="00CC3BA3">
      <w:pPr>
        <w:spacing w:after="120" w:line="360" w:lineRule="auto"/>
        <w:rPr>
          <w:rFonts w:cs="Arial"/>
          <w:bCs/>
          <w:sz w:val="20"/>
          <w:szCs w:val="20"/>
          <w:lang w:eastAsia="en-US"/>
        </w:rPr>
      </w:pPr>
      <w:r w:rsidRPr="00CC3BA3">
        <w:rPr>
          <w:rFonts w:cs="Arial"/>
          <w:bCs/>
          <w:sz w:val="20"/>
          <w:szCs w:val="20"/>
          <w:lang w:eastAsia="en-US"/>
        </w:rPr>
        <w:t>Historically the Swanston Street South Precinct demonstrates the small allotment size that was created by the subdivision patterns of the 1870s and 1880s and that established the urban density of the Hoddle Grid until the 1950s. The Swanston Street South Precinct is significant for its demonstration of retailing from the 1870s to the 1930s. Varied retail uses existed within the precinct including a strong emphasis on clothing and footwear (</w:t>
      </w:r>
      <w:proofErr w:type="spellStart"/>
      <w:r w:rsidRPr="00CC3BA3">
        <w:rPr>
          <w:rFonts w:cs="Arial"/>
          <w:bCs/>
          <w:sz w:val="20"/>
          <w:szCs w:val="20"/>
          <w:lang w:eastAsia="en-US"/>
        </w:rPr>
        <w:t>Ezywalkin</w:t>
      </w:r>
      <w:proofErr w:type="spellEnd"/>
      <w:r w:rsidRPr="00CC3BA3">
        <w:rPr>
          <w:rFonts w:cs="Arial"/>
          <w:bCs/>
          <w:sz w:val="20"/>
          <w:szCs w:val="20"/>
          <w:lang w:eastAsia="en-US"/>
        </w:rPr>
        <w:t xml:space="preserve">, 163 Swanston Street, </w:t>
      </w:r>
      <w:proofErr w:type="spellStart"/>
      <w:r w:rsidRPr="00CC3BA3">
        <w:rPr>
          <w:rFonts w:cs="Arial"/>
          <w:bCs/>
          <w:sz w:val="20"/>
          <w:szCs w:val="20"/>
          <w:lang w:eastAsia="en-US"/>
        </w:rPr>
        <w:t>Faul’s</w:t>
      </w:r>
      <w:proofErr w:type="spellEnd"/>
      <w:r w:rsidRPr="00CC3BA3">
        <w:rPr>
          <w:rFonts w:cs="Arial"/>
          <w:bCs/>
          <w:sz w:val="20"/>
          <w:szCs w:val="20"/>
          <w:lang w:eastAsia="en-US"/>
        </w:rPr>
        <w:t xml:space="preserve"> hosiery at no.139-141, millinery and drapery at no.135-137). These uses are evident in the individual buildings, the streetscape, in Masons Lane and in documentary evidence in plans and photographs. (Criterion A)</w:t>
      </w:r>
    </w:p>
    <w:p w:rsidR="00CC3BA3" w:rsidRPr="00CC3BA3" w:rsidRDefault="00CC3BA3" w:rsidP="00CC3BA3">
      <w:pPr>
        <w:spacing w:after="120" w:line="360" w:lineRule="auto"/>
        <w:rPr>
          <w:rFonts w:cs="Arial"/>
          <w:bCs/>
          <w:sz w:val="20"/>
          <w:szCs w:val="20"/>
          <w:lang w:eastAsia="en-US"/>
        </w:rPr>
      </w:pPr>
      <w:r w:rsidRPr="00CC3BA3">
        <w:rPr>
          <w:rFonts w:cs="Arial"/>
          <w:bCs/>
          <w:sz w:val="20"/>
          <w:szCs w:val="20"/>
          <w:lang w:eastAsia="en-US"/>
        </w:rPr>
        <w:t xml:space="preserve">The Swanston Street South Precinct is significant for its demonstration of two distinctive urban morphologies, that of the one to three-storey building and that of the six to eight-storey building that formed the next phase once building heights were lifted to allow a maximum height of 40 metres. </w:t>
      </w:r>
    </w:p>
    <w:p w:rsidR="00CC3BA3" w:rsidRPr="00CC3BA3" w:rsidRDefault="00CC3BA3" w:rsidP="00CC3BA3">
      <w:pPr>
        <w:spacing w:after="120" w:line="360" w:lineRule="auto"/>
        <w:rPr>
          <w:rFonts w:cs="Arial"/>
          <w:bCs/>
          <w:sz w:val="20"/>
          <w:szCs w:val="20"/>
          <w:lang w:eastAsia="en-US"/>
        </w:rPr>
      </w:pPr>
      <w:r w:rsidRPr="00CC3BA3">
        <w:rPr>
          <w:rFonts w:cs="Arial"/>
          <w:bCs/>
          <w:sz w:val="20"/>
          <w:szCs w:val="20"/>
          <w:lang w:eastAsia="en-US"/>
        </w:rPr>
        <w:t>The particular characteristics of the low scale buildings include masonry walls generally faced with stucco at the front, a regular pattern of small windows, parapets that disguise the roof form and a variety of classically derived façade details. 135-137 and 163-165 Swanston Street (Nahum Barnet, 1919 and 1922) are notable examples of this second type. The two-three storey buildings that form the remainder of the precinct illustrate the earlier representation of the city.</w:t>
      </w:r>
    </w:p>
    <w:p w:rsidR="00CC3BA3" w:rsidRPr="00CC3BA3" w:rsidRDefault="00CC3BA3" w:rsidP="00CC3BA3">
      <w:pPr>
        <w:spacing w:after="120" w:line="360" w:lineRule="auto"/>
        <w:rPr>
          <w:rFonts w:cs="Arial"/>
          <w:bCs/>
          <w:sz w:val="20"/>
          <w:szCs w:val="20"/>
          <w:lang w:eastAsia="en-US"/>
        </w:rPr>
      </w:pPr>
      <w:bookmarkStart w:id="2" w:name="_Hlk517079923"/>
      <w:r w:rsidRPr="00CC3BA3">
        <w:rPr>
          <w:rFonts w:cs="Arial"/>
          <w:bCs/>
          <w:sz w:val="20"/>
          <w:szCs w:val="20"/>
          <w:lang w:eastAsia="en-US"/>
        </w:rPr>
        <w:t xml:space="preserve">Within the precinct are fine examples of Edwardian architecture at </w:t>
      </w:r>
      <w:bookmarkStart w:id="3" w:name="_Hlk517079842"/>
      <w:r w:rsidRPr="00CC3BA3">
        <w:rPr>
          <w:rFonts w:cs="Arial"/>
          <w:bCs/>
          <w:sz w:val="20"/>
          <w:szCs w:val="20"/>
          <w:lang w:eastAsia="en-US"/>
        </w:rPr>
        <w:t xml:space="preserve">149-153 Swanston Street (1900, Reed Smart and </w:t>
      </w:r>
      <w:proofErr w:type="spellStart"/>
      <w:r w:rsidRPr="00CC3BA3">
        <w:rPr>
          <w:rFonts w:cs="Arial"/>
          <w:bCs/>
          <w:sz w:val="20"/>
          <w:szCs w:val="20"/>
          <w:lang w:eastAsia="en-US"/>
        </w:rPr>
        <w:t>Tappin</w:t>
      </w:r>
      <w:proofErr w:type="spellEnd"/>
      <w:r w:rsidRPr="00CC3BA3">
        <w:rPr>
          <w:rFonts w:cs="Arial"/>
          <w:bCs/>
          <w:sz w:val="20"/>
          <w:szCs w:val="20"/>
          <w:lang w:eastAsia="en-US"/>
        </w:rPr>
        <w:t>)</w:t>
      </w:r>
      <w:bookmarkEnd w:id="3"/>
      <w:r w:rsidRPr="00CC3BA3">
        <w:rPr>
          <w:rFonts w:cs="Arial"/>
          <w:bCs/>
          <w:sz w:val="20"/>
          <w:szCs w:val="20"/>
          <w:lang w:eastAsia="en-US"/>
        </w:rPr>
        <w:t xml:space="preserve"> and 161 Swanston Street (c.1900, no designer identified). Other places within the precinct are representative examples from each of the Victorian (1850-1900), Edwardian (1900-1919) and interwar (1919-1935) periods. Together these elements comprise a distinctive low scaled and fine-grained group within the retail heart of the city, bookended by notable taller buildings. (Criterion D) </w:t>
      </w:r>
      <w:bookmarkEnd w:id="2"/>
    </w:p>
    <w:p w:rsidR="00CC3BA3" w:rsidRPr="00CC3BA3" w:rsidRDefault="00CC3BA3" w:rsidP="00CC3BA3">
      <w:pPr>
        <w:spacing w:after="120" w:line="360" w:lineRule="auto"/>
        <w:rPr>
          <w:rFonts w:cs="Arial"/>
          <w:bCs/>
          <w:sz w:val="20"/>
          <w:szCs w:val="20"/>
          <w:lang w:eastAsia="en-US"/>
        </w:rPr>
      </w:pPr>
      <w:r w:rsidRPr="00CC3BA3">
        <w:rPr>
          <w:rFonts w:cs="Arial"/>
          <w:bCs/>
          <w:sz w:val="20"/>
          <w:szCs w:val="20"/>
          <w:lang w:eastAsia="en-US"/>
        </w:rPr>
        <w:t>The Swanston Street South Precinct is aesthetically significant for the upper floors of the buildings that demonstrate the different periods and styles in which they were built. Whilst the street level has generally been modified, the upper floors have retained architectural characteristics of the period including parapets, original window openings, moulded stucco decoration to the masonry walls and stylistic detail and elements common to each period. The precinct is characterised by some individual buildings that express exceptionally fine façades with floors of bow-fronted windows and large arch-</w:t>
      </w:r>
      <w:r w:rsidRPr="00CC3BA3">
        <w:rPr>
          <w:rFonts w:cs="Arial"/>
          <w:bCs/>
          <w:sz w:val="20"/>
          <w:szCs w:val="20"/>
          <w:lang w:eastAsia="en-US"/>
        </w:rPr>
        <w:lastRenderedPageBreak/>
        <w:t xml:space="preserve">headed windows that enliven the streetscape. These include nos. 135-137, 139-141, 149-153, 161 and 163-165 Swanston Street. Nos 149 and 161 are notable for their upper floor windows, and for no.161 the curved shopfront is unusual. The interwar classical revival style is notable at 152-156 Swanston Street. </w:t>
      </w:r>
    </w:p>
    <w:p w:rsidR="00CC3BA3" w:rsidRPr="00CC3BA3" w:rsidRDefault="00CC3BA3" w:rsidP="00CC3BA3">
      <w:pPr>
        <w:spacing w:after="120" w:line="360" w:lineRule="auto"/>
        <w:rPr>
          <w:rFonts w:cs="Arial"/>
          <w:bCs/>
          <w:sz w:val="20"/>
          <w:szCs w:val="20"/>
          <w:lang w:eastAsia="en-US"/>
        </w:rPr>
      </w:pPr>
      <w:r w:rsidRPr="00CC3BA3">
        <w:rPr>
          <w:rFonts w:cs="Arial"/>
          <w:bCs/>
          <w:sz w:val="20"/>
          <w:szCs w:val="20"/>
          <w:lang w:eastAsia="en-US"/>
        </w:rPr>
        <w:t xml:space="preserve">Nos.155 and 157-159 Swanston exhibit fairly austere classical revival façades. The Victorian period is well represented on the east side of Swanston Street with the typical Victorian stucco facades of nos.146-150 and 166-174 Swanston Street and their rhythmic pattern of arch-headed windows with mouldings. The recessed entry with curved glass ground floor shopfront is an important element of no.161. </w:t>
      </w:r>
    </w:p>
    <w:p w:rsidR="00CC3BA3" w:rsidRPr="00CC3BA3" w:rsidRDefault="00CC3BA3" w:rsidP="00CC3BA3">
      <w:pPr>
        <w:spacing w:after="120" w:line="360" w:lineRule="auto"/>
        <w:rPr>
          <w:rFonts w:cs="Arial"/>
          <w:bCs/>
          <w:sz w:val="20"/>
          <w:szCs w:val="20"/>
          <w:lang w:eastAsia="en-US"/>
        </w:rPr>
      </w:pPr>
      <w:r w:rsidRPr="00CC3BA3">
        <w:rPr>
          <w:rFonts w:cs="Arial"/>
          <w:bCs/>
          <w:sz w:val="20"/>
          <w:szCs w:val="20"/>
          <w:lang w:eastAsia="en-US"/>
        </w:rPr>
        <w:t>The views provided along Masons Lane are also aesthetically significant, framing views of tall buildings to the north and south. The rear elevations of the buildings abutting the laneways especially nos.143-165 Swanston Street are aesthetically significant for their scale, form and brick and stucco walls with a pattern of window and loading bay openings. (Criterion E)</w:t>
      </w:r>
    </w:p>
    <w:p w:rsidR="00CC3BA3" w:rsidRPr="00CC3BA3" w:rsidRDefault="00CC3BA3" w:rsidP="00CC3BA3">
      <w:pPr>
        <w:spacing w:after="120" w:line="360" w:lineRule="auto"/>
        <w:rPr>
          <w:rFonts w:cs="Arial"/>
          <w:bCs/>
          <w:sz w:val="20"/>
          <w:szCs w:val="20"/>
          <w:lang w:eastAsia="en-US"/>
        </w:rPr>
      </w:pPr>
      <w:r w:rsidRPr="00CC3BA3">
        <w:rPr>
          <w:rFonts w:cs="Arial"/>
          <w:bCs/>
          <w:sz w:val="20"/>
          <w:szCs w:val="20"/>
          <w:lang w:eastAsia="en-US"/>
        </w:rPr>
        <w:t>Key attributes of the precinct include:</w:t>
      </w:r>
    </w:p>
    <w:p w:rsidR="00CC3BA3" w:rsidRPr="00CC3BA3" w:rsidRDefault="00CC3BA3" w:rsidP="00CC3BA3">
      <w:pPr>
        <w:spacing w:after="120" w:line="360" w:lineRule="auto"/>
        <w:rPr>
          <w:rFonts w:cs="Arial"/>
          <w:bCs/>
          <w:sz w:val="20"/>
          <w:szCs w:val="20"/>
          <w:lang w:eastAsia="en-US"/>
        </w:rPr>
      </w:pPr>
      <w:r w:rsidRPr="00CC3BA3">
        <w:rPr>
          <w:rFonts w:cs="Arial"/>
          <w:bCs/>
          <w:sz w:val="20"/>
          <w:szCs w:val="20"/>
          <w:lang w:eastAsia="en-US"/>
        </w:rPr>
        <w:t>Victorian-era buildings:</w:t>
      </w:r>
    </w:p>
    <w:p w:rsidR="00CC3BA3" w:rsidRPr="00DB730A" w:rsidRDefault="00CC3BA3" w:rsidP="00DB730A">
      <w:pPr>
        <w:pStyle w:val="ListParagraph"/>
        <w:numPr>
          <w:ilvl w:val="0"/>
          <w:numId w:val="2"/>
        </w:numPr>
        <w:spacing w:after="160" w:line="360" w:lineRule="auto"/>
        <w:rPr>
          <w:rFonts w:cs="Arial"/>
          <w:bCs/>
          <w:sz w:val="20"/>
          <w:szCs w:val="20"/>
          <w:lang w:eastAsia="en-US"/>
        </w:rPr>
      </w:pPr>
      <w:r w:rsidRPr="00DB730A">
        <w:rPr>
          <w:rFonts w:cs="Arial"/>
          <w:bCs/>
          <w:sz w:val="20"/>
          <w:szCs w:val="20"/>
          <w:lang w:eastAsia="en-US"/>
        </w:rPr>
        <w:t>146, 148 and 150 Swanston Street, two-storey Victorian shops built by 1877</w:t>
      </w:r>
    </w:p>
    <w:p w:rsidR="00CC3BA3" w:rsidRPr="00DB730A" w:rsidRDefault="00CC3BA3" w:rsidP="00DB730A">
      <w:pPr>
        <w:pStyle w:val="ListParagraph"/>
        <w:numPr>
          <w:ilvl w:val="0"/>
          <w:numId w:val="2"/>
        </w:numPr>
        <w:spacing w:after="160" w:line="360" w:lineRule="auto"/>
        <w:rPr>
          <w:rFonts w:cs="Arial"/>
          <w:bCs/>
          <w:sz w:val="20"/>
          <w:szCs w:val="20"/>
          <w:lang w:eastAsia="en-US"/>
        </w:rPr>
      </w:pPr>
      <w:r w:rsidRPr="00DB730A">
        <w:rPr>
          <w:rFonts w:cs="Arial"/>
          <w:bCs/>
          <w:sz w:val="20"/>
          <w:szCs w:val="20"/>
          <w:lang w:eastAsia="en-US"/>
        </w:rPr>
        <w:t>166, 168, 172 and 174 Swanston Street, three-storey Victorian shops built by 1888</w:t>
      </w:r>
    </w:p>
    <w:p w:rsidR="00CC3BA3" w:rsidRPr="00CC3BA3" w:rsidRDefault="00CC3BA3" w:rsidP="00CC3BA3">
      <w:pPr>
        <w:spacing w:after="120" w:line="360" w:lineRule="auto"/>
        <w:rPr>
          <w:rFonts w:cs="Arial"/>
          <w:bCs/>
          <w:sz w:val="20"/>
          <w:szCs w:val="20"/>
          <w:lang w:eastAsia="en-US"/>
        </w:rPr>
      </w:pPr>
      <w:r w:rsidRPr="00CC3BA3">
        <w:rPr>
          <w:rFonts w:cs="Arial"/>
          <w:bCs/>
          <w:sz w:val="20"/>
          <w:szCs w:val="20"/>
          <w:lang w:eastAsia="en-US"/>
        </w:rPr>
        <w:t>Edwardian era buildings:</w:t>
      </w:r>
    </w:p>
    <w:p w:rsidR="00CC3BA3" w:rsidRPr="00DB730A" w:rsidRDefault="00CC3BA3" w:rsidP="00DB730A">
      <w:pPr>
        <w:pStyle w:val="ListParagraph"/>
        <w:numPr>
          <w:ilvl w:val="0"/>
          <w:numId w:val="3"/>
        </w:numPr>
        <w:spacing w:after="160" w:line="360" w:lineRule="auto"/>
        <w:rPr>
          <w:rFonts w:cs="Arial"/>
          <w:bCs/>
          <w:sz w:val="20"/>
          <w:szCs w:val="20"/>
          <w:lang w:eastAsia="en-US"/>
        </w:rPr>
      </w:pPr>
      <w:r w:rsidRPr="00DB730A">
        <w:rPr>
          <w:rFonts w:cs="Arial"/>
          <w:bCs/>
          <w:sz w:val="20"/>
          <w:szCs w:val="20"/>
          <w:lang w:eastAsia="en-US"/>
        </w:rPr>
        <w:t>135-137 Swanston Street, 1919 seven-storey building by Nahum Barnet and Marcus Barlow</w:t>
      </w:r>
    </w:p>
    <w:p w:rsidR="00CC3BA3" w:rsidRPr="00DB730A" w:rsidRDefault="00CC3BA3" w:rsidP="00DB730A">
      <w:pPr>
        <w:pStyle w:val="ListParagraph"/>
        <w:numPr>
          <w:ilvl w:val="0"/>
          <w:numId w:val="3"/>
        </w:numPr>
        <w:spacing w:after="160" w:line="360" w:lineRule="auto"/>
        <w:rPr>
          <w:rFonts w:cs="Arial"/>
          <w:bCs/>
          <w:sz w:val="20"/>
          <w:szCs w:val="20"/>
          <w:lang w:eastAsia="en-US"/>
        </w:rPr>
      </w:pPr>
      <w:r w:rsidRPr="00DB730A">
        <w:rPr>
          <w:rFonts w:cs="Arial"/>
          <w:bCs/>
          <w:sz w:val="20"/>
          <w:szCs w:val="20"/>
          <w:lang w:eastAsia="en-US"/>
        </w:rPr>
        <w:t xml:space="preserve">143 Swanston Street, built by c1910 as two-storey and extended in the </w:t>
      </w:r>
      <w:proofErr w:type="spellStart"/>
      <w:r w:rsidRPr="00DB730A">
        <w:rPr>
          <w:rFonts w:cs="Arial"/>
          <w:bCs/>
          <w:sz w:val="20"/>
          <w:szCs w:val="20"/>
          <w:lang w:eastAsia="en-US"/>
        </w:rPr>
        <w:t>postwar</w:t>
      </w:r>
      <w:proofErr w:type="spellEnd"/>
      <w:r w:rsidRPr="00DB730A">
        <w:rPr>
          <w:rFonts w:cs="Arial"/>
          <w:bCs/>
          <w:sz w:val="20"/>
          <w:szCs w:val="20"/>
          <w:lang w:eastAsia="en-US"/>
        </w:rPr>
        <w:t xml:space="preserve"> period</w:t>
      </w:r>
    </w:p>
    <w:p w:rsidR="00CC3BA3" w:rsidRPr="00DB730A" w:rsidRDefault="00CC3BA3" w:rsidP="00DB730A">
      <w:pPr>
        <w:pStyle w:val="ListParagraph"/>
        <w:numPr>
          <w:ilvl w:val="0"/>
          <w:numId w:val="3"/>
        </w:numPr>
        <w:spacing w:after="160" w:line="360" w:lineRule="auto"/>
        <w:rPr>
          <w:rFonts w:cs="Arial"/>
          <w:bCs/>
          <w:sz w:val="20"/>
          <w:szCs w:val="20"/>
          <w:lang w:eastAsia="en-US"/>
        </w:rPr>
      </w:pPr>
      <w:r w:rsidRPr="00DB730A">
        <w:rPr>
          <w:rFonts w:cs="Arial"/>
          <w:bCs/>
          <w:sz w:val="20"/>
          <w:szCs w:val="20"/>
          <w:lang w:eastAsia="en-US"/>
        </w:rPr>
        <w:t xml:space="preserve">149-153 Swanston Street, three-storey shops and studios by Reed Smart and </w:t>
      </w:r>
      <w:proofErr w:type="spellStart"/>
      <w:r w:rsidRPr="00DB730A">
        <w:rPr>
          <w:rFonts w:cs="Arial"/>
          <w:bCs/>
          <w:sz w:val="20"/>
          <w:szCs w:val="20"/>
          <w:lang w:eastAsia="en-US"/>
        </w:rPr>
        <w:t>Tappin</w:t>
      </w:r>
      <w:proofErr w:type="spellEnd"/>
      <w:r w:rsidRPr="00DB730A">
        <w:rPr>
          <w:rFonts w:cs="Arial"/>
          <w:bCs/>
          <w:sz w:val="20"/>
          <w:szCs w:val="20"/>
          <w:lang w:eastAsia="en-US"/>
        </w:rPr>
        <w:t xml:space="preserve">, 1900 </w:t>
      </w:r>
    </w:p>
    <w:p w:rsidR="00CC3BA3" w:rsidRPr="00DB730A" w:rsidRDefault="00CC3BA3" w:rsidP="00DB730A">
      <w:pPr>
        <w:pStyle w:val="ListParagraph"/>
        <w:numPr>
          <w:ilvl w:val="0"/>
          <w:numId w:val="3"/>
        </w:numPr>
        <w:spacing w:after="160" w:line="360" w:lineRule="auto"/>
        <w:rPr>
          <w:rFonts w:cs="Arial"/>
          <w:bCs/>
          <w:sz w:val="20"/>
          <w:szCs w:val="20"/>
          <w:lang w:eastAsia="en-US"/>
        </w:rPr>
      </w:pPr>
      <w:r w:rsidRPr="00DB730A">
        <w:rPr>
          <w:rFonts w:cs="Arial"/>
          <w:bCs/>
          <w:sz w:val="20"/>
          <w:szCs w:val="20"/>
          <w:lang w:eastAsia="en-US"/>
        </w:rPr>
        <w:t xml:space="preserve">161 Swanston Street including the shopfront, c1900, no designer identified </w:t>
      </w:r>
    </w:p>
    <w:p w:rsidR="00CC3BA3" w:rsidRPr="00DB730A" w:rsidRDefault="00CC3BA3" w:rsidP="00DB730A">
      <w:pPr>
        <w:pStyle w:val="ListParagraph"/>
        <w:numPr>
          <w:ilvl w:val="0"/>
          <w:numId w:val="3"/>
        </w:numPr>
        <w:spacing w:after="160" w:line="360" w:lineRule="auto"/>
        <w:rPr>
          <w:rFonts w:cs="Arial"/>
          <w:bCs/>
          <w:sz w:val="20"/>
          <w:szCs w:val="20"/>
          <w:lang w:eastAsia="en-US"/>
        </w:rPr>
      </w:pPr>
      <w:r w:rsidRPr="00DB730A">
        <w:rPr>
          <w:rFonts w:cs="Arial"/>
          <w:bCs/>
          <w:sz w:val="20"/>
          <w:szCs w:val="20"/>
          <w:lang w:eastAsia="en-US"/>
        </w:rPr>
        <w:t xml:space="preserve">163-165 Swanston Street, 1922 seven-storey building Nahum Barnet </w:t>
      </w:r>
    </w:p>
    <w:p w:rsidR="00CC3BA3" w:rsidRPr="00CC3BA3" w:rsidRDefault="00CC3BA3" w:rsidP="00CC3BA3">
      <w:pPr>
        <w:spacing w:after="120" w:line="360" w:lineRule="auto"/>
        <w:rPr>
          <w:rFonts w:cs="Arial"/>
          <w:bCs/>
          <w:sz w:val="20"/>
          <w:szCs w:val="20"/>
          <w:lang w:eastAsia="en-US"/>
        </w:rPr>
      </w:pPr>
      <w:r w:rsidRPr="00CC3BA3">
        <w:rPr>
          <w:rFonts w:cs="Arial"/>
          <w:bCs/>
          <w:sz w:val="20"/>
          <w:szCs w:val="20"/>
          <w:lang w:eastAsia="en-US"/>
        </w:rPr>
        <w:t>Interwar era buildings:</w:t>
      </w:r>
    </w:p>
    <w:p w:rsidR="00CC3BA3" w:rsidRPr="00DB730A" w:rsidRDefault="00CC3BA3" w:rsidP="00DB730A">
      <w:pPr>
        <w:pStyle w:val="ListParagraph"/>
        <w:numPr>
          <w:ilvl w:val="0"/>
          <w:numId w:val="4"/>
        </w:numPr>
        <w:spacing w:after="160" w:line="360" w:lineRule="auto"/>
        <w:rPr>
          <w:rFonts w:cs="Arial"/>
          <w:bCs/>
          <w:sz w:val="20"/>
          <w:szCs w:val="20"/>
          <w:lang w:eastAsia="en-US"/>
        </w:rPr>
      </w:pPr>
      <w:r w:rsidRPr="00DB730A">
        <w:rPr>
          <w:rFonts w:cs="Arial"/>
          <w:bCs/>
          <w:sz w:val="20"/>
          <w:szCs w:val="20"/>
          <w:lang w:eastAsia="en-US"/>
        </w:rPr>
        <w:t xml:space="preserve">139-141 Swanston Street, 1924, no designer identified </w:t>
      </w:r>
    </w:p>
    <w:p w:rsidR="00CC3BA3" w:rsidRPr="00DB730A" w:rsidRDefault="00CC3BA3" w:rsidP="00DB730A">
      <w:pPr>
        <w:pStyle w:val="ListParagraph"/>
        <w:numPr>
          <w:ilvl w:val="0"/>
          <w:numId w:val="4"/>
        </w:numPr>
        <w:spacing w:after="160" w:line="360" w:lineRule="auto"/>
        <w:rPr>
          <w:rFonts w:cs="Arial"/>
          <w:bCs/>
          <w:sz w:val="20"/>
          <w:szCs w:val="20"/>
          <w:lang w:eastAsia="en-US"/>
        </w:rPr>
      </w:pPr>
      <w:r w:rsidRPr="00DB730A">
        <w:rPr>
          <w:rFonts w:cs="Arial"/>
          <w:bCs/>
          <w:sz w:val="20"/>
          <w:szCs w:val="20"/>
          <w:lang w:eastAsia="en-US"/>
        </w:rPr>
        <w:t xml:space="preserve">155 and 157-159 Swanston Street, c1920s, no designer identified </w:t>
      </w:r>
    </w:p>
    <w:p w:rsidR="00CC3BA3" w:rsidRPr="00DB730A" w:rsidRDefault="00CC3BA3" w:rsidP="00DB730A">
      <w:pPr>
        <w:pStyle w:val="ListParagraph"/>
        <w:numPr>
          <w:ilvl w:val="0"/>
          <w:numId w:val="4"/>
        </w:numPr>
        <w:spacing w:after="160" w:line="360" w:lineRule="auto"/>
        <w:rPr>
          <w:rFonts w:cs="Arial"/>
          <w:bCs/>
          <w:sz w:val="20"/>
          <w:szCs w:val="20"/>
          <w:lang w:eastAsia="en-US"/>
        </w:rPr>
      </w:pPr>
      <w:r w:rsidRPr="00DB730A">
        <w:rPr>
          <w:rFonts w:cs="Arial"/>
          <w:bCs/>
          <w:sz w:val="20"/>
          <w:szCs w:val="20"/>
          <w:lang w:eastAsia="en-US"/>
        </w:rPr>
        <w:t xml:space="preserve">152-156 Swanston Street, 1938, A &amp; K Henderson remodelling </w:t>
      </w:r>
    </w:p>
    <w:p w:rsidR="00CC3BA3" w:rsidRPr="00CC3BA3" w:rsidRDefault="00CC3BA3" w:rsidP="00CC3BA3">
      <w:pPr>
        <w:spacing w:after="120" w:line="360" w:lineRule="auto"/>
        <w:rPr>
          <w:rFonts w:cs="Arial"/>
          <w:bCs/>
          <w:sz w:val="20"/>
          <w:szCs w:val="20"/>
          <w:lang w:eastAsia="en-US"/>
        </w:rPr>
      </w:pPr>
      <w:r w:rsidRPr="00CC3BA3">
        <w:rPr>
          <w:rFonts w:cs="Arial"/>
          <w:bCs/>
          <w:sz w:val="20"/>
          <w:szCs w:val="20"/>
          <w:lang w:eastAsia="en-US"/>
        </w:rPr>
        <w:t xml:space="preserve">The laneway rear aspects of the buildings, particularly those on Masons Lane and the northern part of Rainbow Alley. </w:t>
      </w:r>
    </w:p>
    <w:p w:rsidR="00CC3BA3" w:rsidRPr="00CC3BA3" w:rsidRDefault="00CC3BA3" w:rsidP="00CC3BA3">
      <w:pPr>
        <w:pBdr>
          <w:bottom w:val="single" w:sz="4" w:space="1" w:color="auto"/>
        </w:pBdr>
        <w:spacing w:after="160" w:line="256" w:lineRule="auto"/>
        <w:jc w:val="both"/>
        <w:rPr>
          <w:rFonts w:cs="Arial"/>
          <w:b/>
          <w:bCs/>
          <w:sz w:val="20"/>
          <w:szCs w:val="20"/>
          <w:u w:color="1A1A1A"/>
          <w:lang w:eastAsia="en-US"/>
        </w:rPr>
      </w:pPr>
      <w:r w:rsidRPr="00CC3BA3">
        <w:rPr>
          <w:rFonts w:cs="Arial"/>
          <w:b/>
          <w:bCs/>
          <w:sz w:val="20"/>
          <w:szCs w:val="20"/>
          <w:u w:color="1A1A1A"/>
          <w:lang w:eastAsia="en-US"/>
        </w:rPr>
        <w:t>Primary source</w:t>
      </w:r>
    </w:p>
    <w:p w:rsidR="00CC3BA3" w:rsidRPr="00CC3BA3" w:rsidRDefault="00CC3BA3" w:rsidP="00CC3BA3">
      <w:pPr>
        <w:spacing w:after="160" w:line="256" w:lineRule="auto"/>
        <w:rPr>
          <w:rFonts w:cs="Arial"/>
          <w:sz w:val="20"/>
          <w:szCs w:val="20"/>
          <w:lang w:eastAsia="en-US"/>
        </w:rPr>
      </w:pPr>
      <w:r w:rsidRPr="00CC3BA3">
        <w:rPr>
          <w:rFonts w:cs="Arial"/>
          <w:sz w:val="20"/>
          <w:szCs w:val="20"/>
          <w:u w:color="1A1A1A"/>
          <w:lang w:eastAsia="en-US"/>
        </w:rPr>
        <w:t>Hoddle Grid Heritage Review (Context &amp; GJM Heritage, 2020)</w:t>
      </w:r>
    </w:p>
    <w:p w:rsidR="006A19AD" w:rsidRPr="00CF085A" w:rsidRDefault="006A19AD"/>
    <w:sectPr w:rsidR="006A19AD" w:rsidRPr="00CF085A">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BA3" w:rsidRDefault="00CC3BA3" w:rsidP="00CC3BA3">
      <w:pPr>
        <w:spacing w:after="0" w:line="240" w:lineRule="auto"/>
      </w:pPr>
      <w:r>
        <w:separator/>
      </w:r>
    </w:p>
  </w:endnote>
  <w:endnote w:type="continuationSeparator" w:id="0">
    <w:p w:rsidR="00CC3BA3" w:rsidRDefault="00CC3BA3" w:rsidP="00CC3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Yu Gothic Light">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BA3" w:rsidRPr="00CC3BA3" w:rsidRDefault="00CC3BA3" w:rsidP="00CC3BA3">
    <w:pPr>
      <w:tabs>
        <w:tab w:val="center" w:pos="4513"/>
        <w:tab w:val="right" w:pos="9026"/>
      </w:tabs>
      <w:spacing w:after="120" w:line="360" w:lineRule="auto"/>
      <w:rPr>
        <w:sz w:val="18"/>
        <w:lang w:eastAsia="en-US"/>
      </w:rPr>
    </w:pPr>
    <w:r w:rsidRPr="00902B14">
      <w:rPr>
        <w:sz w:val="18"/>
        <w:lang w:eastAsia="en-US"/>
      </w:rPr>
      <w:t xml:space="preserve">INCORPORATED </w:t>
    </w:r>
    <w:r w:rsidR="00DB730A">
      <w:rPr>
        <w:sz w:val="18"/>
        <w:lang w:eastAsia="en-US"/>
      </w:rPr>
      <w:t>DOCUMENT – SCHEDULE TO CLAUSE 72.04</w:t>
    </w:r>
    <w:r w:rsidR="00DB730A">
      <w:rPr>
        <w:sz w:val="18"/>
        <w:lang w:eastAsia="en-US"/>
      </w:rPr>
      <w:tab/>
      <w:t>JULY 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BA3" w:rsidRDefault="00CC3BA3" w:rsidP="00CC3BA3">
      <w:pPr>
        <w:spacing w:after="0" w:line="240" w:lineRule="auto"/>
      </w:pPr>
      <w:r>
        <w:separator/>
      </w:r>
    </w:p>
  </w:footnote>
  <w:footnote w:type="continuationSeparator" w:id="0">
    <w:p w:rsidR="00CC3BA3" w:rsidRDefault="00CC3BA3" w:rsidP="00CC3B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C0D64"/>
    <w:multiLevelType w:val="hybridMultilevel"/>
    <w:tmpl w:val="E6DE98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nsid w:val="3B3639F8"/>
    <w:multiLevelType w:val="hybridMultilevel"/>
    <w:tmpl w:val="38B00D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nsid w:val="4119211C"/>
    <w:multiLevelType w:val="hybridMultilevel"/>
    <w:tmpl w:val="D58610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55EF6818"/>
    <w:multiLevelType w:val="hybridMultilevel"/>
    <w:tmpl w:val="374600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BA3"/>
    <w:rsid w:val="000521C5"/>
    <w:rsid w:val="0008133F"/>
    <w:rsid w:val="000F7D41"/>
    <w:rsid w:val="003A6FC1"/>
    <w:rsid w:val="0043143B"/>
    <w:rsid w:val="005F3710"/>
    <w:rsid w:val="00682BD5"/>
    <w:rsid w:val="006A19AD"/>
    <w:rsid w:val="007D7DD3"/>
    <w:rsid w:val="008B5EB6"/>
    <w:rsid w:val="00996FEF"/>
    <w:rsid w:val="00A36F5D"/>
    <w:rsid w:val="00B335B8"/>
    <w:rsid w:val="00B6108D"/>
    <w:rsid w:val="00C742CD"/>
    <w:rsid w:val="00C863DF"/>
    <w:rsid w:val="00CA1287"/>
    <w:rsid w:val="00CC3BA3"/>
    <w:rsid w:val="00CF085A"/>
    <w:rsid w:val="00D533DB"/>
    <w:rsid w:val="00D5761B"/>
    <w:rsid w:val="00D811B1"/>
    <w:rsid w:val="00D93585"/>
    <w:rsid w:val="00DB730A"/>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43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3B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BA3"/>
    <w:rPr>
      <w:rFonts w:ascii="Tahoma" w:hAnsi="Tahoma" w:cs="Tahoma"/>
      <w:sz w:val="16"/>
      <w:szCs w:val="16"/>
    </w:rPr>
  </w:style>
  <w:style w:type="paragraph" w:styleId="Header">
    <w:name w:val="header"/>
    <w:basedOn w:val="Normal"/>
    <w:link w:val="HeaderChar"/>
    <w:uiPriority w:val="99"/>
    <w:unhideWhenUsed/>
    <w:rsid w:val="00CC3B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BA3"/>
    <w:rPr>
      <w:sz w:val="22"/>
      <w:szCs w:val="22"/>
    </w:rPr>
  </w:style>
  <w:style w:type="paragraph" w:styleId="Footer">
    <w:name w:val="footer"/>
    <w:basedOn w:val="Normal"/>
    <w:link w:val="FooterChar"/>
    <w:uiPriority w:val="99"/>
    <w:unhideWhenUsed/>
    <w:rsid w:val="00CC3B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BA3"/>
    <w:rPr>
      <w:sz w:val="22"/>
      <w:szCs w:val="22"/>
    </w:rPr>
  </w:style>
  <w:style w:type="paragraph" w:styleId="ListParagraph">
    <w:name w:val="List Paragraph"/>
    <w:basedOn w:val="Normal"/>
    <w:uiPriority w:val="34"/>
    <w:qFormat/>
    <w:rsid w:val="00DB73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43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3B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BA3"/>
    <w:rPr>
      <w:rFonts w:ascii="Tahoma" w:hAnsi="Tahoma" w:cs="Tahoma"/>
      <w:sz w:val="16"/>
      <w:szCs w:val="16"/>
    </w:rPr>
  </w:style>
  <w:style w:type="paragraph" w:styleId="Header">
    <w:name w:val="header"/>
    <w:basedOn w:val="Normal"/>
    <w:link w:val="HeaderChar"/>
    <w:uiPriority w:val="99"/>
    <w:unhideWhenUsed/>
    <w:rsid w:val="00CC3B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BA3"/>
    <w:rPr>
      <w:sz w:val="22"/>
      <w:szCs w:val="22"/>
    </w:rPr>
  </w:style>
  <w:style w:type="paragraph" w:styleId="Footer">
    <w:name w:val="footer"/>
    <w:basedOn w:val="Normal"/>
    <w:link w:val="FooterChar"/>
    <w:uiPriority w:val="99"/>
    <w:unhideWhenUsed/>
    <w:rsid w:val="00CC3B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BA3"/>
    <w:rPr>
      <w:sz w:val="22"/>
      <w:szCs w:val="22"/>
    </w:rPr>
  </w:style>
  <w:style w:type="paragraph" w:styleId="ListParagraph">
    <w:name w:val="List Paragraph"/>
    <w:basedOn w:val="Normal"/>
    <w:uiPriority w:val="34"/>
    <w:qFormat/>
    <w:rsid w:val="00DB73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18F1D42</Template>
  <TotalTime>0</TotalTime>
  <Pages>3</Pages>
  <Words>1034</Words>
  <Characters>5898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6919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 Marques</dc:creator>
  <cp:keywords/>
  <dc:description/>
  <cp:lastModifiedBy>Bria Huebner</cp:lastModifiedBy>
  <cp:revision>2</cp:revision>
  <cp:lastPrinted>2020-07-16T01:28:00Z</cp:lastPrinted>
  <dcterms:created xsi:type="dcterms:W3CDTF">2020-07-16T01:28:00Z</dcterms:created>
  <dcterms:modified xsi:type="dcterms:W3CDTF">2020-07-16T01:28:00Z</dcterms:modified>
</cp:coreProperties>
</file>