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2.xml" ContentType="application/vnd.openxmlformats-officedocument.customXmlProperties+xml"/>
  <Override PartName="/word/numbering.xml" ContentType="application/vnd.openxmlformats-officedocument.wordprocessingml.numbering+xml"/>
  <Override PartName="/word/glossary/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alias w:val="GLOBAL_CoverTitle"/>
        <w:tag w:val="GLOBAL_CoverTitle"/>
        <w:id w:val="1857845174"/>
        <w:placeholder>
          <w:docPart w:val="8BE126954E5647088037339F1E4BD5F1"/>
        </w:placeholder>
        <w:dataBinding w:prefixMappings="xmlns:ns0='http://Greg_Maxey/CC_Mapping_Part'" w:xpath="/ns0:CC_Map_Root[1]/ns0:GLOBAL_CoverTitle[1]" w:storeItemID="{603E7D31-AE21-4067-BC99-39108952EC29}"/>
        <w15:color w:val="FF00FF"/>
        <w:text w:multiLine="1"/>
      </w:sdtPr>
      <w:sdtEndPr/>
      <w:sdtContent>
        <w:p w14:paraId="19700D6D" w14:textId="77777777" w:rsidR="00C6484E" w:rsidRDefault="00A907D0" w:rsidP="004F32B6">
          <w:pPr>
            <w:pStyle w:val="CoverText"/>
          </w:pPr>
          <w:r>
            <w:t xml:space="preserve">Planning Scheme </w:t>
          </w:r>
          <w:r>
            <w:br/>
            <w:t>Amendment Request</w:t>
          </w:r>
        </w:p>
      </w:sdtContent>
    </w:sdt>
    <w:p w14:paraId="7ABFC8AA" w14:textId="76FF8E0C" w:rsidR="00C6484E" w:rsidRDefault="006D150E" w:rsidP="004F32B6">
      <w:pPr>
        <w:pStyle w:val="CoverSubtext"/>
      </w:pPr>
      <w:sdt>
        <w:sdtPr>
          <w:alias w:val="GLOBAL_CoverSubtitle"/>
          <w:tag w:val="GLOBAL_CoverSubtitle"/>
          <w:id w:val="-1015533238"/>
          <w:placeholder>
            <w:docPart w:val="C6C9F138D0ED4F12870CFC9744E345CD"/>
          </w:placeholder>
          <w:dataBinding w:prefixMappings="xmlns:ns0='http://Greg_Maxey/CC_Mapping_Part'" w:xpath="/ns0:CC_Map_Root[1]/ns0:GLOBAL_CoverSubtitle[1]" w:storeItemID="{603E7D31-AE21-4067-BC99-39108952EC29}"/>
          <w15:color w:val="FF00FF"/>
          <w:text/>
        </w:sdtPr>
        <w:sdtEndPr/>
        <w:sdtContent>
          <w:r w:rsidR="00A907D0">
            <w:t>200 Arden Street, North Melbourne</w:t>
          </w:r>
        </w:sdtContent>
      </w:sdt>
    </w:p>
    <w:p w14:paraId="2A821932" w14:textId="1FC1F7D3" w:rsidR="00C6484E" w:rsidRPr="00143A59" w:rsidRDefault="00C6484E" w:rsidP="004F32B6">
      <w:pPr>
        <w:pStyle w:val="CoverDetail"/>
        <w:rPr>
          <w:lang w:val="en-US"/>
        </w:rPr>
      </w:pPr>
    </w:p>
    <w:p w14:paraId="5C0D5B52" w14:textId="0CB045DB" w:rsidR="00C6484E" w:rsidRDefault="00C6484E" w:rsidP="004F32B6">
      <w:pPr>
        <w:pStyle w:val="CoverDetail"/>
        <w:rPr>
          <w:lang w:val="en-US"/>
        </w:rPr>
      </w:pPr>
    </w:p>
    <w:p w14:paraId="07752F8F" w14:textId="77777777" w:rsidR="00C6484E" w:rsidRDefault="00C6484E" w:rsidP="004F32B6">
      <w:pPr>
        <w:pStyle w:val="CoverDetail"/>
        <w:rPr>
          <w:lang w:val="en-US"/>
        </w:rPr>
      </w:pPr>
    </w:p>
    <w:p w14:paraId="35AE4177" w14:textId="77777777" w:rsidR="00CE54CF" w:rsidRDefault="00CE54CF" w:rsidP="004D55BC">
      <w:pPr>
        <w:pStyle w:val="IntroCopy"/>
        <w:rPr>
          <w:lang w:val="en-US"/>
        </w:rPr>
        <w:sectPr w:rsidR="00CE54CF" w:rsidSect="00CE54CF">
          <w:footerReference w:type="default" r:id="rId9"/>
          <w:headerReference w:type="first" r:id="rId10"/>
          <w:footerReference w:type="first" r:id="rId11"/>
          <w:pgSz w:w="11906" w:h="16838" w:code="9"/>
          <w:pgMar w:top="1134" w:right="850" w:bottom="1134" w:left="850" w:header="567" w:footer="283" w:gutter="0"/>
          <w:cols w:space="708"/>
          <w:titlePg/>
          <w:docGrid w:linePitch="360"/>
        </w:sectPr>
      </w:pPr>
    </w:p>
    <w:p w14:paraId="4A7F286E" w14:textId="77777777" w:rsidR="00385F6F" w:rsidRDefault="00385F6F" w:rsidP="000C521A">
      <w:pPr>
        <w:rPr>
          <w:lang w:val="en-US"/>
        </w:rPr>
      </w:pPr>
    </w:p>
    <w:p w14:paraId="1E3D9623" w14:textId="3128F676" w:rsidR="00A74AC6" w:rsidRPr="00035EF4" w:rsidRDefault="00C745DF" w:rsidP="00A74AC6">
      <w:pPr>
        <w:pStyle w:val="NoSpacing"/>
      </w:pPr>
      <w:r w:rsidRPr="00035EF4">
        <w:rPr>
          <w:noProof/>
        </w:rPr>
        <mc:AlternateContent>
          <mc:Choice Requires="wps">
            <w:drawing>
              <wp:anchor distT="0" distB="0" distL="114300" distR="114300" simplePos="0" relativeHeight="251659264" behindDoc="0" locked="0" layoutInCell="1" allowOverlap="1" wp14:anchorId="6ACAF0FF" wp14:editId="47B7D7BF">
                <wp:simplePos x="0" y="0"/>
                <wp:positionH relativeFrom="page">
                  <wp:posOffset>5313872</wp:posOffset>
                </wp:positionH>
                <wp:positionV relativeFrom="paragraph">
                  <wp:posOffset>17948</wp:posOffset>
                </wp:positionV>
                <wp:extent cx="1799590" cy="3752490"/>
                <wp:effectExtent l="0" t="0" r="0" b="0"/>
                <wp:wrapNone/>
                <wp:docPr id="33" name="Text Box 33" descr="P114TB31bA#y1"/>
                <wp:cNvGraphicFramePr/>
                <a:graphic xmlns:a="http://schemas.openxmlformats.org/drawingml/2006/main">
                  <a:graphicData uri="http://schemas.microsoft.com/office/word/2010/wordprocessingShape">
                    <wps:wsp>
                      <wps:cNvSpPr txBox="1"/>
                      <wps:spPr>
                        <a:xfrm>
                          <a:off x="0" y="0"/>
                          <a:ext cx="1799590" cy="3752490"/>
                        </a:xfrm>
                        <a:prstGeom prst="rect">
                          <a:avLst/>
                        </a:prstGeom>
                        <a:noFill/>
                        <a:ln w="6350" cap="flat" cmpd="sng" algn="ctr">
                          <a:solidFill>
                            <a:prstClr val="black">
                              <a:alpha val="0"/>
                            </a:prstClr>
                          </a:solidFill>
                          <a:prstDash val="solid"/>
                          <a:round/>
                          <a:headEnd type="none" w="med" len="med"/>
                          <a:tailEnd type="none" w="med" len="med"/>
                        </a:ln>
                      </wps:spPr>
                      <wps:txbx>
                        <w:txbxContent>
                          <w:p w14:paraId="0F670AAC" w14:textId="77777777" w:rsidR="00A74AC6" w:rsidRPr="00333750" w:rsidRDefault="00A74AC6" w:rsidP="00A74AC6">
                            <w:pPr>
                              <w:pStyle w:val="Imagecredit"/>
                              <w:spacing w:before="0"/>
                              <w:rPr>
                                <w:color w:val="AF084D"/>
                              </w:rPr>
                            </w:pPr>
                            <w:r w:rsidRPr="00333750">
                              <w:rPr>
                                <w:b/>
                                <w:bCs/>
                                <w:i/>
                                <w:iCs/>
                                <w:color w:val="A53E2D"/>
                              </w:rPr>
                              <w:t>‘Dagura Buumarri’</w:t>
                            </w:r>
                            <w:r w:rsidRPr="00333750">
                              <w:rPr>
                                <w:color w:val="A53E2D"/>
                              </w:rPr>
                              <w:br/>
                              <w:t>Liz Belanjee Cameron</w:t>
                            </w:r>
                          </w:p>
                          <w:p w14:paraId="7F11118B" w14:textId="77777777" w:rsidR="00A74AC6" w:rsidRPr="00333750" w:rsidRDefault="00A74AC6" w:rsidP="00A74AC6">
                            <w:pPr>
                              <w:pStyle w:val="Imagecredit"/>
                              <w:spacing w:after="0"/>
                            </w:pPr>
                            <w:r w:rsidRPr="00333750">
                              <w:rPr>
                                <w:i/>
                                <w:iCs/>
                              </w:rPr>
                              <w:t xml:space="preserve">‘Dagura Buumarri’ – </w:t>
                            </w:r>
                            <w:r w:rsidRPr="00333750">
                              <w:t>translates to Cold Brown Country. Representing Victoria.</w:t>
                            </w:r>
                          </w:p>
                          <w:p w14:paraId="4CDAF004" w14:textId="77777777" w:rsidR="00A74AC6" w:rsidRPr="00333750" w:rsidRDefault="00A74AC6" w:rsidP="00A74AC6">
                            <w:pPr>
                              <w:pStyle w:val="Imagecredit"/>
                            </w:pPr>
                            <w:r w:rsidRPr="00333750">
                              <w:t>The river system illustrated in this visual image is bound in greens and golds to acknowledge the warmth often felt in a colder climate. The rich earth hues of green, reds and browns reflect the local landscapes of this state while the extensive use of rhythmical patterning captures the unique landscapes of flat and mountainous areas. The use of earth colours imparts a sense of strength and serenity while contrasting greens throughout the image reminds us of the lushness of the natural world, where animals and humans once lived in harmony – it reminds us of the importance to protect the lands, waterways and skies and care for our localised environment. Scattered throughout the image are bold colours of oranges – a source of energy that continues to be felt as a life-giving source. The orange hues also portray the varying sunsets in which many Victorians enjoy seeing.</w:t>
                            </w:r>
                          </w:p>
                          <w:p w14:paraId="0636A04D" w14:textId="77777777" w:rsidR="00A74AC6" w:rsidRDefault="00A74AC6" w:rsidP="00A74AC6">
                            <w:pPr>
                              <w:pStyle w:val="Imagecredi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AF0FF" id="_x0000_t202" coordsize="21600,21600" o:spt="202" path="m,l,21600r21600,l21600,xe">
                <v:stroke joinstyle="miter"/>
                <v:path gradientshapeok="t" o:connecttype="rect"/>
              </v:shapetype>
              <v:shape id="Text Box 33" o:spid="_x0000_s1026" type="#_x0000_t202" alt="P114TB31bA#y1" style="position:absolute;margin-left:418.4pt;margin-top:1.4pt;width:141.7pt;height:295.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" filled="f" strokeweight=".5pt">
                <v:stroke opacity="0" joinstyle="round"/>
                <v:textbox inset="0,0,0,0">
                  <w:txbxContent>
                    <w:p w14:paraId="0F670AAC" w14:textId="77777777" w:rsidR="00A74AC6" w:rsidRPr="00333750" w:rsidRDefault="00A74AC6" w:rsidP="00A74AC6">
                      <w:pPr>
                        <w:pStyle w:val="Imagecredit"/>
                        <w:spacing w:before="0"/>
                        <w:rPr>
                          <w:color w:val="AF084D"/>
                        </w:rPr>
                      </w:pPr>
                      <w:r w:rsidRPr="00333750">
                        <w:rPr>
                          <w:b/>
                          <w:bCs/>
                          <w:i/>
                          <w:iCs/>
                          <w:color w:val="A53E2D"/>
                        </w:rPr>
                        <w:t>‘Dagura Buumarri’</w:t>
                      </w:r>
                      <w:r w:rsidRPr="00333750">
                        <w:rPr>
                          <w:color w:val="A53E2D"/>
                        </w:rPr>
                        <w:br/>
                        <w:t>Liz Belanjee Cameron</w:t>
                      </w:r>
                    </w:p>
                    <w:p w14:paraId="7F11118B" w14:textId="77777777" w:rsidR="00A74AC6" w:rsidRPr="00333750" w:rsidRDefault="00A74AC6" w:rsidP="00A74AC6">
                      <w:pPr>
                        <w:pStyle w:val="Imagecredit"/>
                        <w:spacing w:after="0"/>
                      </w:pPr>
                      <w:r w:rsidRPr="00333750">
                        <w:rPr>
                          <w:i/>
                          <w:iCs/>
                        </w:rPr>
                        <w:t xml:space="preserve">‘Dagura Buumarri’ – </w:t>
                      </w:r>
                      <w:r w:rsidRPr="00333750">
                        <w:t>translates to Cold Brown Country. Representing Victoria.</w:t>
                      </w:r>
                    </w:p>
                    <w:p w14:paraId="4CDAF004" w14:textId="77777777" w:rsidR="00A74AC6" w:rsidRPr="00333750" w:rsidRDefault="00A74AC6" w:rsidP="00A74AC6">
                      <w:pPr>
                        <w:pStyle w:val="Imagecredit"/>
                      </w:pPr>
                      <w:r w:rsidRPr="00333750">
                        <w:t>The river system illustrated in this visual image is bound in greens and golds to acknowledge the warmth often felt in a colder climate. The rich earth hues of green, reds and browns reflect the local landscapes of this state while the extensive use of rhythmical patterning captures the unique landscapes of flat and mountainous areas. The use of earth colours imparts a sense of strength and serenity while contrasting greens throughout the image reminds us of the lushness of the natural world, where animals and humans once lived in harmony – it reminds us of the importance to protect the lands, waterways and skies and care for our localised environment. Scattered throughout the image are bold colours of oranges – a source of energy that continues to be felt as a life-giving source. The orange hues also portray the varying sunsets in which many Victorians enjoy seeing.</w:t>
                      </w:r>
                    </w:p>
                    <w:p w14:paraId="0636A04D" w14:textId="77777777" w:rsidR="00A74AC6" w:rsidRDefault="00A74AC6" w:rsidP="00A74AC6">
                      <w:pPr>
                        <w:pStyle w:val="Imagecredit"/>
                      </w:pPr>
                    </w:p>
                  </w:txbxContent>
                </v:textbox>
                <w10:wrap anchorx="page"/>
              </v:shape>
            </w:pict>
          </mc:Fallback>
        </mc:AlternateContent>
      </w:r>
      <w:r w:rsidR="00A74AC6" w:rsidRPr="00035EF4">
        <w:rPr>
          <w:noProof/>
        </w:rPr>
        <w:drawing>
          <wp:inline distT="0" distB="0" distL="0" distR="0" wp14:anchorId="09E7195C" wp14:editId="01C48264">
            <wp:extent cx="4679999" cy="5044868"/>
            <wp:effectExtent l="0" t="0" r="6350" b="3810"/>
            <wp:docPr id="19" name="Picture 19" descr="P1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112#yI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79999" cy="5044868"/>
                    </a:xfrm>
                    <a:prstGeom prst="rect">
                      <a:avLst/>
                    </a:prstGeom>
                  </pic:spPr>
                </pic:pic>
              </a:graphicData>
            </a:graphic>
          </wp:inline>
        </w:drawing>
      </w:r>
    </w:p>
    <w:p w14:paraId="3BB57C08" w14:textId="77777777" w:rsidR="00A74AC6" w:rsidRPr="00035EF4" w:rsidRDefault="00A74AC6" w:rsidP="00A74AC6">
      <w:pPr>
        <w:pStyle w:val="NoSpacing"/>
      </w:pPr>
    </w:p>
    <w:p w14:paraId="3C64050A" w14:textId="692198AB" w:rsidR="00A74AC6" w:rsidRPr="00035EF4" w:rsidRDefault="00A74AC6" w:rsidP="00A74AC6">
      <w:pPr>
        <w:pStyle w:val="IntroCopy"/>
        <w:spacing w:before="120" w:after="0"/>
        <w:ind w:right="1415"/>
        <w:rPr>
          <w:color w:val="A53E2D"/>
          <w:sz w:val="21"/>
          <w:szCs w:val="21"/>
        </w:rPr>
      </w:pPr>
      <w:r w:rsidRPr="00035EF4">
        <w:rPr>
          <w:color w:val="A53E2D"/>
          <w:sz w:val="21"/>
          <w:szCs w:val="21"/>
        </w:rPr>
        <w:t xml:space="preserve">Ethos Urban acknowledges the Traditional Custodians of Country throughout Australia and recognises their continuing connection to land, </w:t>
      </w:r>
      <w:r w:rsidR="00B229E7" w:rsidRPr="00035EF4">
        <w:rPr>
          <w:color w:val="A53E2D"/>
          <w:sz w:val="21"/>
          <w:szCs w:val="21"/>
        </w:rPr>
        <w:t>waters,</w:t>
      </w:r>
      <w:r w:rsidRPr="00035EF4">
        <w:rPr>
          <w:color w:val="A53E2D"/>
          <w:sz w:val="21"/>
          <w:szCs w:val="21"/>
        </w:rPr>
        <w:t xml:space="preserve"> and culture.</w:t>
      </w:r>
    </w:p>
    <w:p w14:paraId="64222B12" w14:textId="77777777" w:rsidR="00A74AC6" w:rsidRDefault="00A74AC6" w:rsidP="00A74AC6">
      <w:pPr>
        <w:pStyle w:val="IntroCopy"/>
        <w:spacing w:before="120" w:after="0"/>
        <w:ind w:right="1415"/>
        <w:rPr>
          <w:color w:val="A53E2D"/>
          <w:sz w:val="21"/>
          <w:szCs w:val="21"/>
        </w:rPr>
      </w:pPr>
      <w:r w:rsidRPr="00B633BA">
        <w:rPr>
          <w:color w:val="A53E2D"/>
          <w:sz w:val="21"/>
          <w:szCs w:val="21"/>
        </w:rPr>
        <w:t>We acknowledge the Wurundjeri Woi Wurrung people, of the Kulin Nation, the Traditional Custodians of the land where this document was prepared, and all peoples and nations from lands affected.</w:t>
      </w:r>
    </w:p>
    <w:p w14:paraId="0DDB3499" w14:textId="77777777" w:rsidR="00A74AC6" w:rsidRPr="00035EF4" w:rsidRDefault="00A74AC6" w:rsidP="00A74AC6">
      <w:pPr>
        <w:pStyle w:val="IntroCopy"/>
        <w:spacing w:before="120" w:after="0"/>
        <w:ind w:right="1415"/>
        <w:rPr>
          <w:color w:val="A53E2D"/>
        </w:rPr>
      </w:pPr>
      <w:r w:rsidRPr="00035EF4">
        <w:rPr>
          <w:color w:val="A53E2D"/>
          <w:sz w:val="21"/>
          <w:szCs w:val="21"/>
        </w:rPr>
        <w:t>We pay our respects to their Elders past, present and emerging.</w:t>
      </w:r>
    </w:p>
    <w:tbl>
      <w:tblPr>
        <w:tblStyle w:val="DocumentDetails"/>
        <w:tblpPr w:leftFromText="181" w:rightFromText="181" w:horzAnchor="margin" w:tblpYSpec="bottom"/>
        <w:tblOverlap w:val="never"/>
        <w:tblW w:w="5000" w:type="pct"/>
        <w:tblLayout w:type="fixed"/>
        <w:tblLook w:val="04A0" w:firstRow="1" w:lastRow="0" w:firstColumn="1" w:lastColumn="0" w:noHBand="0" w:noVBand="1"/>
      </w:tblPr>
      <w:tblGrid>
        <w:gridCol w:w="1135"/>
        <w:gridCol w:w="1347"/>
        <w:gridCol w:w="2482"/>
        <w:gridCol w:w="2760"/>
        <w:gridCol w:w="2482"/>
      </w:tblGrid>
      <w:tr w:rsidR="00A74AC6" w:rsidRPr="00035EF4" w14:paraId="6955D7E5" w14:textId="77777777" w:rsidTr="00636AD8">
        <w:trPr>
          <w:trHeight w:val="132"/>
        </w:trPr>
        <w:tc>
          <w:tcPr>
            <w:tcW w:w="1216" w:type="pct"/>
            <w:gridSpan w:val="2"/>
            <w:tcMar>
              <w:top w:w="0" w:type="dxa"/>
              <w:bottom w:w="0" w:type="dxa"/>
            </w:tcMar>
          </w:tcPr>
          <w:p w14:paraId="2D7D8A01" w14:textId="77777777" w:rsidR="00A74AC6" w:rsidRPr="007214F7" w:rsidRDefault="00A74AC6" w:rsidP="004F32B6">
            <w:pPr>
              <w:pStyle w:val="TableTextSmall"/>
              <w:spacing w:before="40" w:after="60" w:line="240" w:lineRule="auto"/>
              <w:rPr>
                <w:b/>
                <w:bCs/>
              </w:rPr>
            </w:pPr>
            <w:r w:rsidRPr="007214F7">
              <w:rPr>
                <w:b/>
                <w:bCs/>
              </w:rPr>
              <w:t>Contact</w:t>
            </w:r>
          </w:p>
        </w:tc>
        <w:tc>
          <w:tcPr>
            <w:tcW w:w="1216" w:type="pct"/>
            <w:tcMar>
              <w:top w:w="0" w:type="dxa"/>
              <w:bottom w:w="0" w:type="dxa"/>
            </w:tcMar>
          </w:tcPr>
          <w:p w14:paraId="44241996" w14:textId="77777777" w:rsidR="00A74AC6" w:rsidRDefault="00A74AC6" w:rsidP="004F32B6">
            <w:pPr>
              <w:pStyle w:val="TableTextSmall"/>
              <w:spacing w:before="40" w:line="240" w:lineRule="auto"/>
            </w:pPr>
            <w:r>
              <w:t>Henry Wallis</w:t>
            </w:r>
          </w:p>
          <w:p w14:paraId="37F66570" w14:textId="77777777" w:rsidR="00A74AC6" w:rsidRPr="007214F7" w:rsidRDefault="00A74AC6" w:rsidP="004F32B6">
            <w:pPr>
              <w:pStyle w:val="TableTextSmall"/>
              <w:spacing w:before="40" w:line="240" w:lineRule="auto"/>
              <w:rPr>
                <w:shd w:val="clear" w:color="auto" w:fill="DCF0F0"/>
              </w:rPr>
            </w:pPr>
            <w:r>
              <w:t>Associate D</w:t>
            </w:r>
            <w:r w:rsidRPr="007214F7">
              <w:t>irector</w:t>
            </w:r>
          </w:p>
        </w:tc>
        <w:tc>
          <w:tcPr>
            <w:tcW w:w="1352" w:type="pct"/>
            <w:tcMar>
              <w:top w:w="0" w:type="dxa"/>
              <w:bottom w:w="0" w:type="dxa"/>
            </w:tcMar>
          </w:tcPr>
          <w:p w14:paraId="029E3A48" w14:textId="77777777" w:rsidR="00A74AC6" w:rsidRPr="00035EF4" w:rsidRDefault="00A74AC6" w:rsidP="004F32B6">
            <w:pPr>
              <w:pStyle w:val="TableTextSmall"/>
              <w:spacing w:before="40" w:line="240" w:lineRule="auto"/>
            </w:pPr>
            <w:r>
              <w:t>HWallis</w:t>
            </w:r>
            <w:r w:rsidRPr="00035EF4">
              <w:t>@ethosurban.com</w:t>
            </w:r>
          </w:p>
          <w:p w14:paraId="0B2E7F4D" w14:textId="77777777" w:rsidR="00A74AC6" w:rsidRPr="00035EF4" w:rsidRDefault="00A74AC6" w:rsidP="004F32B6">
            <w:pPr>
              <w:pStyle w:val="TableTextSmall"/>
              <w:spacing w:after="40"/>
            </w:pPr>
            <w:r>
              <w:t>0409 524 842</w:t>
            </w:r>
          </w:p>
        </w:tc>
        <w:tc>
          <w:tcPr>
            <w:tcW w:w="1216" w:type="pct"/>
            <w:tcMar>
              <w:top w:w="0" w:type="dxa"/>
              <w:bottom w:w="0" w:type="dxa"/>
            </w:tcMar>
          </w:tcPr>
          <w:p w14:paraId="11D667B9" w14:textId="77777777" w:rsidR="00A74AC6" w:rsidRPr="00035EF4" w:rsidRDefault="00A74AC6" w:rsidP="004F32B6">
            <w:pPr>
              <w:pStyle w:val="TableTextSmall"/>
            </w:pPr>
          </w:p>
        </w:tc>
      </w:tr>
      <w:tr w:rsidR="00A74AC6" w:rsidRPr="00035EF4" w14:paraId="4381F910" w14:textId="77777777" w:rsidTr="004F32B6">
        <w:trPr>
          <w:trHeight w:val="958"/>
        </w:trPr>
        <w:tc>
          <w:tcPr>
            <w:tcW w:w="2432" w:type="pct"/>
            <w:gridSpan w:val="3"/>
            <w:tcBorders>
              <w:bottom w:val="single" w:sz="2" w:space="0" w:color="FFFFFF"/>
            </w:tcBorders>
            <w:tcMar>
              <w:top w:w="0" w:type="dxa"/>
              <w:bottom w:w="0" w:type="dxa"/>
            </w:tcMar>
          </w:tcPr>
          <w:p w14:paraId="1D4869E3" w14:textId="356F87CA" w:rsidR="00A74AC6" w:rsidRPr="007214F7" w:rsidRDefault="00A74AC6" w:rsidP="004F32B6">
            <w:pPr>
              <w:pStyle w:val="TableTextSmall"/>
              <w:spacing w:before="40" w:line="240" w:lineRule="auto"/>
            </w:pPr>
            <w:r w:rsidRPr="00035EF4">
              <w:rPr>
                <w:b/>
                <w:bCs/>
              </w:rPr>
              <w:t>This document has been prepared by:</w:t>
            </w:r>
            <w:r>
              <w:rPr>
                <w:b/>
                <w:bCs/>
              </w:rPr>
              <w:t xml:space="preserve"> </w:t>
            </w:r>
            <w:r w:rsidR="000F2368">
              <w:t>Hasnain Ikram</w:t>
            </w:r>
          </w:p>
          <w:p w14:paraId="7E12E4A8" w14:textId="77777777" w:rsidR="00A74AC6" w:rsidRPr="00035EF4" w:rsidRDefault="00A74AC6" w:rsidP="004F32B6">
            <w:pPr>
              <w:pStyle w:val="TableTextSmall"/>
            </w:pPr>
          </w:p>
        </w:tc>
        <w:tc>
          <w:tcPr>
            <w:tcW w:w="2568" w:type="pct"/>
            <w:gridSpan w:val="2"/>
            <w:tcBorders>
              <w:bottom w:val="single" w:sz="2" w:space="0" w:color="FFFFFF"/>
            </w:tcBorders>
            <w:tcMar>
              <w:top w:w="0" w:type="dxa"/>
              <w:bottom w:w="0" w:type="dxa"/>
            </w:tcMar>
          </w:tcPr>
          <w:p w14:paraId="2AE58DE9" w14:textId="142BCA7B" w:rsidR="00A74AC6" w:rsidRPr="00035EF4" w:rsidRDefault="00A74AC6" w:rsidP="00636AD8">
            <w:pPr>
              <w:pStyle w:val="TableTextSmall"/>
              <w:spacing w:before="40" w:line="240" w:lineRule="auto"/>
            </w:pPr>
            <w:r w:rsidRPr="00035EF4">
              <w:rPr>
                <w:b/>
                <w:bCs/>
              </w:rPr>
              <w:t>This document has been reviewed by:</w:t>
            </w:r>
            <w:r>
              <w:rPr>
                <w:b/>
                <w:bCs/>
              </w:rPr>
              <w:t xml:space="preserve"> </w:t>
            </w:r>
            <w:r>
              <w:t>Henry Wallis</w:t>
            </w:r>
          </w:p>
        </w:tc>
      </w:tr>
      <w:tr w:rsidR="00A74AC6" w:rsidRPr="00035EF4" w14:paraId="4620F8F9" w14:textId="77777777" w:rsidTr="00636AD8">
        <w:trPr>
          <w:trHeight w:val="75"/>
        </w:trPr>
        <w:sdt>
          <w:sdtPr>
            <w:alias w:val="GLOBAL_Author"/>
            <w:tag w:val="GLOBAL_Author"/>
            <w:id w:val="-713660827"/>
            <w:placeholder>
              <w:docPart w:val="532D940A27664E1CBEDE21E264FFA651"/>
            </w:placeholder>
            <w:dataBinding w:prefixMappings="xmlns:ns0='http://Greg_Maxey/CC_Mapping_Part' xmlns:ns1='http://www.w3.org/2000/xmlns/'" w:xpath="/ns0:CC_Map_Root[1]/ns0:GLOBAL_Author[2]" w:storeItemID="{603E7D31-AE21-4067-BC99-39108952EC29}"/>
            <w15:color w:val="FF00FF"/>
            <w:text w:multiLine="1"/>
          </w:sdtPr>
          <w:sdtEndPr/>
          <w:sdtContent>
            <w:tc>
              <w:tcPr>
                <w:tcW w:w="1216" w:type="pct"/>
                <w:gridSpan w:val="2"/>
                <w:tcBorders>
                  <w:top w:val="single" w:sz="2" w:space="0" w:color="FFFFFF"/>
                  <w:bottom w:val="single" w:sz="4" w:space="0" w:color="1D2030" w:themeColor="text1"/>
                </w:tcBorders>
                <w:tcMar>
                  <w:top w:w="0" w:type="dxa"/>
                  <w:bottom w:w="0" w:type="dxa"/>
                </w:tcMar>
              </w:tcPr>
              <w:p w14:paraId="6C3CB759" w14:textId="62A03272" w:rsidR="00A74AC6" w:rsidRPr="00866248" w:rsidRDefault="000F2368" w:rsidP="004F32B6">
                <w:pPr>
                  <w:pStyle w:val="TableTextSmall"/>
                  <w:spacing w:before="20" w:after="60" w:line="240" w:lineRule="auto"/>
                </w:pPr>
                <w:r w:rsidRPr="00866248">
                  <w:t>Hasnain Ikram</w:t>
                </w:r>
              </w:p>
            </w:tc>
          </w:sdtContent>
        </w:sdt>
        <w:tc>
          <w:tcPr>
            <w:tcW w:w="1216" w:type="pct"/>
            <w:tcBorders>
              <w:top w:val="single" w:sz="2" w:space="0" w:color="FFFFFF"/>
              <w:bottom w:val="single" w:sz="4" w:space="0" w:color="1D2030" w:themeColor="text1"/>
            </w:tcBorders>
            <w:tcMar>
              <w:top w:w="0" w:type="dxa"/>
              <w:bottom w:w="0" w:type="dxa"/>
            </w:tcMar>
          </w:tcPr>
          <w:sdt>
            <w:sdtPr>
              <w:id w:val="-1977056602"/>
              <w:placeholder>
                <w:docPart w:val="D127A74C7F6A4A09B59C22489BEE8B18"/>
              </w:placeholder>
              <w:date w:fullDate="2023-11-02T00:00:00Z">
                <w:dateFormat w:val="DD/MM/yyyy"/>
                <w:lid w:val="en-AU"/>
                <w:storeMappedDataAs w:val="dateTime"/>
                <w:calendar w:val="gregorian"/>
              </w:date>
            </w:sdtPr>
            <w:sdtEndPr/>
            <w:sdtContent>
              <w:p w14:paraId="7052B7AE" w14:textId="0386ECDC" w:rsidR="00A74AC6" w:rsidRPr="00866248" w:rsidRDefault="00E149AA" w:rsidP="004F32B6">
                <w:pPr>
                  <w:pStyle w:val="TableTextSmall"/>
                  <w:spacing w:before="20" w:after="60" w:line="240" w:lineRule="auto"/>
                </w:pPr>
                <w:r>
                  <w:t>02/11/2023</w:t>
                </w:r>
              </w:p>
            </w:sdtContent>
          </w:sdt>
        </w:tc>
        <w:sdt>
          <w:sdtPr>
            <w:alias w:val="GLOBAL_ProjReviewer"/>
            <w:tag w:val="GLOBAL_ProjReviewer"/>
            <w:id w:val="2030991663"/>
            <w:placeholder>
              <w:docPart w:val="C4D2B33F40CF4BDDBA65029502467D58"/>
            </w:placeholder>
            <w:dataBinding w:prefixMappings="xmlns:ns0='http://Greg_Maxey/CC_Mapping_Part' " w:xpath="/ns0:CC_Map_Root[1]/ns0:GLOBAL_ProjReviewer[1]" w:storeItemID="{603E7D31-AE21-4067-BC99-39108952EC29}"/>
            <w15:color w:val="FF00FF"/>
            <w:text/>
          </w:sdtPr>
          <w:sdtEndPr/>
          <w:sdtContent>
            <w:tc>
              <w:tcPr>
                <w:tcW w:w="1352" w:type="pct"/>
                <w:tcBorders>
                  <w:top w:val="single" w:sz="2" w:space="0" w:color="FFFFFF"/>
                  <w:bottom w:val="single" w:sz="4" w:space="0" w:color="1D2030" w:themeColor="text1"/>
                </w:tcBorders>
                <w:tcMar>
                  <w:top w:w="0" w:type="dxa"/>
                  <w:bottom w:w="0" w:type="dxa"/>
                </w:tcMar>
              </w:tcPr>
              <w:p w14:paraId="305D9336" w14:textId="49ADFCDB" w:rsidR="00A74AC6" w:rsidRPr="00866248" w:rsidRDefault="00A907D0" w:rsidP="004F32B6">
                <w:pPr>
                  <w:pStyle w:val="TableTextSmall"/>
                  <w:spacing w:before="20" w:after="60" w:line="240" w:lineRule="auto"/>
                </w:pPr>
                <w:r w:rsidRPr="00866248">
                  <w:t>Henry Wallis</w:t>
                </w:r>
              </w:p>
            </w:tc>
          </w:sdtContent>
        </w:sdt>
        <w:tc>
          <w:tcPr>
            <w:tcW w:w="1216" w:type="pct"/>
            <w:tcBorders>
              <w:top w:val="single" w:sz="2" w:space="0" w:color="FFFFFF"/>
              <w:bottom w:val="single" w:sz="4" w:space="0" w:color="1D2030" w:themeColor="text1"/>
            </w:tcBorders>
            <w:tcMar>
              <w:top w:w="0" w:type="dxa"/>
              <w:bottom w:w="0" w:type="dxa"/>
            </w:tcMar>
          </w:tcPr>
          <w:sdt>
            <w:sdtPr>
              <w:id w:val="-479616959"/>
              <w:placeholder>
                <w:docPart w:val="5A0066D3514B4E30ACB4B95CE0269168"/>
              </w:placeholder>
              <w:date w:fullDate="2023-11-02T00:00:00Z">
                <w:dateFormat w:val="DD/MM/yyyy"/>
                <w:lid w:val="en-AU"/>
                <w:storeMappedDataAs w:val="dateTime"/>
                <w:calendar w:val="gregorian"/>
              </w:date>
            </w:sdtPr>
            <w:sdtEndPr/>
            <w:sdtContent>
              <w:p w14:paraId="10E541FB" w14:textId="65C8F189" w:rsidR="00A74AC6" w:rsidRPr="00866248" w:rsidRDefault="00E149AA" w:rsidP="004F32B6">
                <w:pPr>
                  <w:pStyle w:val="TableTextSmall"/>
                  <w:spacing w:before="20" w:after="60" w:line="240" w:lineRule="auto"/>
                </w:pPr>
                <w:r>
                  <w:t>02/11/2023</w:t>
                </w:r>
              </w:p>
            </w:sdtContent>
          </w:sdt>
        </w:tc>
      </w:tr>
      <w:tr w:rsidR="00A74AC6" w:rsidRPr="00035EF4" w14:paraId="1E8F8D56" w14:textId="77777777" w:rsidTr="004F32B6">
        <w:tc>
          <w:tcPr>
            <w:tcW w:w="1216" w:type="pct"/>
            <w:gridSpan w:val="2"/>
            <w:tcBorders>
              <w:bottom w:val="single" w:sz="2" w:space="0" w:color="FFFFFF"/>
            </w:tcBorders>
            <w:tcMar>
              <w:top w:w="0" w:type="dxa"/>
              <w:bottom w:w="0" w:type="dxa"/>
            </w:tcMar>
          </w:tcPr>
          <w:p w14:paraId="79FC4A89" w14:textId="77777777" w:rsidR="00A74AC6" w:rsidRPr="00866248" w:rsidRDefault="00A74AC6" w:rsidP="004F32B6">
            <w:pPr>
              <w:pStyle w:val="TableTextSmall"/>
              <w:spacing w:before="50" w:after="40" w:line="240" w:lineRule="auto"/>
              <w:rPr>
                <w:b/>
                <w:bCs/>
              </w:rPr>
            </w:pPr>
            <w:r w:rsidRPr="00866248">
              <w:rPr>
                <w:b/>
                <w:bCs/>
              </w:rPr>
              <w:t>Version No.</w:t>
            </w:r>
          </w:p>
        </w:tc>
        <w:tc>
          <w:tcPr>
            <w:tcW w:w="1216" w:type="pct"/>
            <w:tcBorders>
              <w:bottom w:val="single" w:sz="2" w:space="0" w:color="FFFFFF"/>
            </w:tcBorders>
            <w:tcMar>
              <w:top w:w="0" w:type="dxa"/>
              <w:bottom w:w="0" w:type="dxa"/>
            </w:tcMar>
          </w:tcPr>
          <w:p w14:paraId="5EC4610E" w14:textId="77777777" w:rsidR="00A74AC6" w:rsidRPr="00866248" w:rsidRDefault="00A74AC6" w:rsidP="004F32B6">
            <w:pPr>
              <w:pStyle w:val="TableTextSmall"/>
              <w:spacing w:before="50" w:after="40" w:line="240" w:lineRule="auto"/>
              <w:rPr>
                <w:b/>
                <w:bCs/>
              </w:rPr>
            </w:pPr>
            <w:r w:rsidRPr="00866248">
              <w:rPr>
                <w:b/>
                <w:bCs/>
              </w:rPr>
              <w:t>Date of issue</w:t>
            </w:r>
          </w:p>
        </w:tc>
        <w:tc>
          <w:tcPr>
            <w:tcW w:w="1352" w:type="pct"/>
            <w:tcBorders>
              <w:bottom w:val="single" w:sz="2" w:space="0" w:color="FFFFFF"/>
            </w:tcBorders>
            <w:tcMar>
              <w:top w:w="0" w:type="dxa"/>
              <w:bottom w:w="0" w:type="dxa"/>
            </w:tcMar>
          </w:tcPr>
          <w:p w14:paraId="2ECC3685" w14:textId="77777777" w:rsidR="00A74AC6" w:rsidRPr="00866248" w:rsidRDefault="00A74AC6" w:rsidP="004F32B6">
            <w:pPr>
              <w:pStyle w:val="TableTextSmall"/>
              <w:spacing w:before="50" w:after="40" w:line="240" w:lineRule="auto"/>
              <w:rPr>
                <w:b/>
                <w:bCs/>
              </w:rPr>
            </w:pPr>
            <w:r w:rsidRPr="00866248">
              <w:rPr>
                <w:b/>
                <w:bCs/>
              </w:rPr>
              <w:t>Prepared By</w:t>
            </w:r>
          </w:p>
        </w:tc>
        <w:tc>
          <w:tcPr>
            <w:tcW w:w="1216" w:type="pct"/>
            <w:tcBorders>
              <w:bottom w:val="single" w:sz="2" w:space="0" w:color="FFFFFF"/>
            </w:tcBorders>
            <w:tcMar>
              <w:top w:w="0" w:type="dxa"/>
              <w:bottom w:w="0" w:type="dxa"/>
            </w:tcMar>
          </w:tcPr>
          <w:p w14:paraId="6B545D63" w14:textId="77777777" w:rsidR="00A74AC6" w:rsidRPr="00866248" w:rsidRDefault="00A74AC6" w:rsidP="004F32B6">
            <w:pPr>
              <w:pStyle w:val="TableTextSmall"/>
              <w:spacing w:before="50" w:after="40" w:line="240" w:lineRule="auto"/>
              <w:rPr>
                <w:b/>
                <w:bCs/>
              </w:rPr>
            </w:pPr>
            <w:r w:rsidRPr="00866248">
              <w:rPr>
                <w:b/>
                <w:bCs/>
              </w:rPr>
              <w:t>Approved by</w:t>
            </w:r>
          </w:p>
        </w:tc>
      </w:tr>
      <w:tr w:rsidR="00A74AC6" w:rsidRPr="00035EF4" w14:paraId="73016751" w14:textId="77777777" w:rsidTr="004F32B6">
        <w:tc>
          <w:tcPr>
            <w:tcW w:w="1216" w:type="pct"/>
            <w:gridSpan w:val="2"/>
            <w:tcBorders>
              <w:top w:val="single" w:sz="2" w:space="0" w:color="FFFFFF"/>
              <w:bottom w:val="single" w:sz="2" w:space="0" w:color="FFFFFF"/>
            </w:tcBorders>
            <w:tcMar>
              <w:top w:w="0" w:type="dxa"/>
              <w:bottom w:w="0" w:type="dxa"/>
            </w:tcMar>
          </w:tcPr>
          <w:p w14:paraId="042DE527" w14:textId="0B62C56A" w:rsidR="00A74AC6" w:rsidRPr="007F66EC" w:rsidRDefault="00A74AC6" w:rsidP="00B229E7">
            <w:pPr>
              <w:pStyle w:val="TableTextSmall"/>
              <w:numPr>
                <w:ilvl w:val="0"/>
                <w:numId w:val="24"/>
              </w:numPr>
              <w:spacing w:before="30" w:after="30" w:line="240" w:lineRule="auto"/>
            </w:pPr>
          </w:p>
        </w:tc>
        <w:tc>
          <w:tcPr>
            <w:tcW w:w="1216" w:type="pct"/>
            <w:tcBorders>
              <w:top w:val="single" w:sz="2" w:space="0" w:color="FFFFFF"/>
              <w:bottom w:val="single" w:sz="2" w:space="0" w:color="FFFFFF"/>
            </w:tcBorders>
            <w:tcMar>
              <w:top w:w="0" w:type="dxa"/>
              <w:bottom w:w="0" w:type="dxa"/>
            </w:tcMar>
          </w:tcPr>
          <w:sdt>
            <w:sdtPr>
              <w:id w:val="-1778018068"/>
              <w:placeholder>
                <w:docPart w:val="4E3E70E0C3934DAA9825E58244F57C9C"/>
              </w:placeholder>
              <w:date w:fullDate="2023-01-11T00:00:00Z">
                <w:dateFormat w:val="DD/MM/yyyy"/>
                <w:lid w:val="en-AU"/>
                <w:storeMappedDataAs w:val="dateTime"/>
                <w:calendar w:val="gregorian"/>
              </w:date>
            </w:sdtPr>
            <w:sdtEndPr/>
            <w:sdtContent>
              <w:p w14:paraId="6FBCB287" w14:textId="05C04D9B" w:rsidR="00A74AC6" w:rsidRPr="007F66EC" w:rsidRDefault="003C2C0A" w:rsidP="004F32B6">
                <w:pPr>
                  <w:pStyle w:val="TableTextSmall"/>
                  <w:spacing w:before="30" w:after="30" w:line="240" w:lineRule="auto"/>
                </w:pPr>
                <w:r w:rsidRPr="007F66EC">
                  <w:t>11/01/2023</w:t>
                </w:r>
              </w:p>
            </w:sdtContent>
          </w:sdt>
        </w:tc>
        <w:tc>
          <w:tcPr>
            <w:tcW w:w="1352" w:type="pct"/>
            <w:tcBorders>
              <w:top w:val="single" w:sz="2" w:space="0" w:color="FFFFFF"/>
              <w:bottom w:val="single" w:sz="2" w:space="0" w:color="FFFFFF"/>
            </w:tcBorders>
            <w:tcMar>
              <w:top w:w="0" w:type="dxa"/>
              <w:bottom w:w="0" w:type="dxa"/>
            </w:tcMar>
          </w:tcPr>
          <w:p w14:paraId="3519C913" w14:textId="73CFAD0A" w:rsidR="000F2368" w:rsidRPr="007F66EC" w:rsidRDefault="0094066C" w:rsidP="000F2368">
            <w:pPr>
              <w:pStyle w:val="TableTextSmall"/>
              <w:spacing w:before="30" w:after="30" w:line="240" w:lineRule="auto"/>
            </w:pPr>
            <w:r w:rsidRPr="007F66EC">
              <w:t>HIk</w:t>
            </w:r>
          </w:p>
        </w:tc>
        <w:tc>
          <w:tcPr>
            <w:tcW w:w="1216" w:type="pct"/>
            <w:tcBorders>
              <w:top w:val="single" w:sz="2" w:space="0" w:color="FFFFFF"/>
              <w:bottom w:val="single" w:sz="2" w:space="0" w:color="FFFFFF"/>
            </w:tcBorders>
            <w:tcMar>
              <w:top w:w="0" w:type="dxa"/>
              <w:bottom w:w="0" w:type="dxa"/>
            </w:tcMar>
          </w:tcPr>
          <w:p w14:paraId="3943A443" w14:textId="3CF9BD91" w:rsidR="000F2368" w:rsidRPr="007F66EC" w:rsidRDefault="00A74AC6" w:rsidP="000F2368">
            <w:pPr>
              <w:pStyle w:val="TableTextSmall"/>
              <w:spacing w:before="30" w:after="30" w:line="240" w:lineRule="auto"/>
            </w:pPr>
            <w:r w:rsidRPr="007F66EC">
              <w:t>HW</w:t>
            </w:r>
          </w:p>
        </w:tc>
      </w:tr>
      <w:tr w:rsidR="00714D8B" w:rsidRPr="00035EF4" w14:paraId="07494368" w14:textId="77777777" w:rsidTr="005863C7">
        <w:trPr>
          <w:trHeight w:val="493"/>
        </w:trPr>
        <w:tc>
          <w:tcPr>
            <w:tcW w:w="1216" w:type="pct"/>
            <w:gridSpan w:val="2"/>
            <w:tcBorders>
              <w:top w:val="single" w:sz="2" w:space="0" w:color="FFFFFF"/>
              <w:bottom w:val="single" w:sz="2" w:space="0" w:color="FFFFFF"/>
            </w:tcBorders>
            <w:tcMar>
              <w:top w:w="0" w:type="dxa"/>
              <w:bottom w:w="0" w:type="dxa"/>
            </w:tcMar>
          </w:tcPr>
          <w:p w14:paraId="16EAB33B" w14:textId="6717D935" w:rsidR="00714D8B" w:rsidRPr="007F66EC" w:rsidRDefault="007F66EC" w:rsidP="007F66EC">
            <w:pPr>
              <w:pStyle w:val="TableTextSmall"/>
              <w:spacing w:before="30" w:after="30" w:line="240" w:lineRule="auto"/>
            </w:pPr>
            <w:r w:rsidRPr="007F66EC">
              <w:t xml:space="preserve">2.0 </w:t>
            </w:r>
            <w:r w:rsidRPr="007F66EC">
              <w:br/>
              <w:t>3.0</w:t>
            </w:r>
            <w:r w:rsidRPr="007F66EC">
              <w:br/>
              <w:t>4.0</w:t>
            </w:r>
          </w:p>
        </w:tc>
        <w:tc>
          <w:tcPr>
            <w:tcW w:w="1216" w:type="pct"/>
            <w:tcBorders>
              <w:top w:val="single" w:sz="2" w:space="0" w:color="FFFFFF"/>
              <w:bottom w:val="single" w:sz="2" w:space="0" w:color="FFFFFF"/>
            </w:tcBorders>
            <w:tcMar>
              <w:top w:w="0" w:type="dxa"/>
              <w:bottom w:w="0" w:type="dxa"/>
            </w:tcMar>
          </w:tcPr>
          <w:p w14:paraId="44EA9A14" w14:textId="06EE5068" w:rsidR="00714D8B" w:rsidRPr="007F66EC" w:rsidRDefault="00C8535F" w:rsidP="004F32B6">
            <w:pPr>
              <w:pStyle w:val="TableTextSmall"/>
              <w:spacing w:before="30" w:after="30" w:line="240" w:lineRule="auto"/>
            </w:pPr>
            <w:r w:rsidRPr="007F66EC">
              <w:t>04</w:t>
            </w:r>
            <w:r w:rsidR="00714D8B" w:rsidRPr="007F66EC">
              <w:t>/</w:t>
            </w:r>
            <w:r w:rsidR="007B4FCC" w:rsidRPr="007F66EC">
              <w:t>0</w:t>
            </w:r>
            <w:r w:rsidRPr="007F66EC">
              <w:t>4</w:t>
            </w:r>
            <w:r w:rsidR="00714D8B" w:rsidRPr="007F66EC">
              <w:t>/</w:t>
            </w:r>
            <w:r w:rsidR="007B4FCC" w:rsidRPr="007F66EC">
              <w:t>2023</w:t>
            </w:r>
            <w:r w:rsidR="00A51042" w:rsidRPr="007F66EC">
              <w:br/>
            </w:r>
            <w:r w:rsidR="00EB7FCF" w:rsidRPr="007F66EC">
              <w:t>29</w:t>
            </w:r>
            <w:r w:rsidR="001C2FD5" w:rsidRPr="007F66EC">
              <w:t>/</w:t>
            </w:r>
            <w:r w:rsidR="00E149AA" w:rsidRPr="007F66EC">
              <w:t>11</w:t>
            </w:r>
            <w:r w:rsidR="00A51042" w:rsidRPr="007F66EC">
              <w:t>/2023</w:t>
            </w:r>
            <w:r w:rsidR="007F66EC" w:rsidRPr="007F66EC">
              <w:br/>
              <w:t>26/03/2024</w:t>
            </w:r>
          </w:p>
        </w:tc>
        <w:tc>
          <w:tcPr>
            <w:tcW w:w="1352" w:type="pct"/>
            <w:tcBorders>
              <w:top w:val="single" w:sz="2" w:space="0" w:color="FFFFFF"/>
              <w:bottom w:val="single" w:sz="2" w:space="0" w:color="FFFFFF"/>
            </w:tcBorders>
            <w:tcMar>
              <w:top w:w="0" w:type="dxa"/>
              <w:bottom w:w="0" w:type="dxa"/>
            </w:tcMar>
          </w:tcPr>
          <w:p w14:paraId="7725BB38" w14:textId="041EB2BA" w:rsidR="00714D8B" w:rsidRPr="007F66EC" w:rsidRDefault="00714D8B" w:rsidP="000F2368">
            <w:pPr>
              <w:pStyle w:val="TableTextSmall"/>
              <w:spacing w:before="30" w:after="30" w:line="240" w:lineRule="auto"/>
            </w:pPr>
            <w:r w:rsidRPr="007F66EC">
              <w:t>HIk</w:t>
            </w:r>
            <w:r w:rsidR="00A51042" w:rsidRPr="007F66EC">
              <w:br/>
              <w:t>H</w:t>
            </w:r>
            <w:r w:rsidR="005863C7">
              <w:t>IK</w:t>
            </w:r>
            <w:r w:rsidR="007F66EC" w:rsidRPr="007F66EC">
              <w:br/>
              <w:t>HIk</w:t>
            </w:r>
          </w:p>
        </w:tc>
        <w:tc>
          <w:tcPr>
            <w:tcW w:w="1216" w:type="pct"/>
            <w:tcBorders>
              <w:top w:val="single" w:sz="2" w:space="0" w:color="FFFFFF"/>
              <w:bottom w:val="single" w:sz="2" w:space="0" w:color="FFFFFF"/>
            </w:tcBorders>
            <w:tcMar>
              <w:top w:w="0" w:type="dxa"/>
              <w:bottom w:w="0" w:type="dxa"/>
            </w:tcMar>
          </w:tcPr>
          <w:p w14:paraId="7D8C37E5" w14:textId="2CE0B1E8" w:rsidR="00714D8B" w:rsidRPr="007F66EC" w:rsidRDefault="00714D8B" w:rsidP="000F2368">
            <w:pPr>
              <w:pStyle w:val="TableTextSmall"/>
              <w:spacing w:before="30" w:after="30" w:line="240" w:lineRule="auto"/>
            </w:pPr>
            <w:r w:rsidRPr="007F66EC">
              <w:t>HW</w:t>
            </w:r>
            <w:r w:rsidR="00A51042" w:rsidRPr="007F66EC">
              <w:br/>
              <w:t>HW</w:t>
            </w:r>
            <w:r w:rsidR="007F66EC" w:rsidRPr="007F66EC">
              <w:br/>
              <w:t>HW</w:t>
            </w:r>
          </w:p>
        </w:tc>
      </w:tr>
      <w:tr w:rsidR="002051EA" w:rsidRPr="00035EF4" w14:paraId="53E16368" w14:textId="77777777" w:rsidTr="005863C7">
        <w:trPr>
          <w:trHeight w:val="75"/>
        </w:trPr>
        <w:tc>
          <w:tcPr>
            <w:tcW w:w="1216" w:type="pct"/>
            <w:gridSpan w:val="2"/>
            <w:tcBorders>
              <w:top w:val="single" w:sz="2" w:space="0" w:color="FFFFFF"/>
              <w:bottom w:val="single" w:sz="2" w:space="0" w:color="FFFFFF"/>
            </w:tcBorders>
            <w:tcMar>
              <w:top w:w="0" w:type="dxa"/>
              <w:bottom w:w="0" w:type="dxa"/>
            </w:tcMar>
          </w:tcPr>
          <w:p w14:paraId="2BD651B4" w14:textId="66FB6C85" w:rsidR="002051EA" w:rsidRPr="007F66EC" w:rsidRDefault="002051EA" w:rsidP="005863C7">
            <w:pPr>
              <w:pStyle w:val="TableTextSmall"/>
              <w:spacing w:after="30" w:line="240" w:lineRule="auto"/>
            </w:pPr>
            <w:r>
              <w:t>5.0</w:t>
            </w:r>
          </w:p>
        </w:tc>
        <w:tc>
          <w:tcPr>
            <w:tcW w:w="1216" w:type="pct"/>
            <w:tcBorders>
              <w:top w:val="single" w:sz="2" w:space="0" w:color="FFFFFF"/>
              <w:bottom w:val="single" w:sz="2" w:space="0" w:color="FFFFFF"/>
            </w:tcBorders>
            <w:tcMar>
              <w:top w:w="0" w:type="dxa"/>
              <w:bottom w:w="0" w:type="dxa"/>
            </w:tcMar>
          </w:tcPr>
          <w:p w14:paraId="58092807" w14:textId="0245B5B1" w:rsidR="002051EA" w:rsidRPr="007F66EC" w:rsidRDefault="002051EA" w:rsidP="005863C7">
            <w:pPr>
              <w:pStyle w:val="TableTextSmall"/>
              <w:spacing w:after="30" w:line="240" w:lineRule="auto"/>
            </w:pPr>
            <w:r>
              <w:t>03/06/2024</w:t>
            </w:r>
          </w:p>
        </w:tc>
        <w:tc>
          <w:tcPr>
            <w:tcW w:w="1352" w:type="pct"/>
            <w:tcBorders>
              <w:top w:val="single" w:sz="2" w:space="0" w:color="FFFFFF"/>
              <w:bottom w:val="single" w:sz="2" w:space="0" w:color="FFFFFF"/>
            </w:tcBorders>
            <w:tcMar>
              <w:top w:w="0" w:type="dxa"/>
              <w:bottom w:w="0" w:type="dxa"/>
            </w:tcMar>
          </w:tcPr>
          <w:p w14:paraId="725172E0" w14:textId="32314EC2" w:rsidR="002051EA" w:rsidRPr="007F66EC" w:rsidRDefault="002051EA" w:rsidP="005863C7">
            <w:pPr>
              <w:pStyle w:val="TableTextSmall"/>
              <w:spacing w:after="30" w:line="240" w:lineRule="auto"/>
            </w:pPr>
            <w:r>
              <w:t>HIK</w:t>
            </w:r>
          </w:p>
        </w:tc>
        <w:tc>
          <w:tcPr>
            <w:tcW w:w="1216" w:type="pct"/>
            <w:tcBorders>
              <w:top w:val="single" w:sz="2" w:space="0" w:color="FFFFFF"/>
              <w:bottom w:val="single" w:sz="2" w:space="0" w:color="FFFFFF"/>
            </w:tcBorders>
            <w:tcMar>
              <w:top w:w="0" w:type="dxa"/>
              <w:bottom w:w="0" w:type="dxa"/>
            </w:tcMar>
          </w:tcPr>
          <w:p w14:paraId="39B0EF84" w14:textId="3406CAD5" w:rsidR="002051EA" w:rsidRPr="007F66EC" w:rsidRDefault="002051EA" w:rsidP="005863C7">
            <w:pPr>
              <w:pStyle w:val="TableTextSmall"/>
              <w:spacing w:after="30" w:line="240" w:lineRule="auto"/>
            </w:pPr>
            <w:r>
              <w:t>HW</w:t>
            </w:r>
          </w:p>
        </w:tc>
      </w:tr>
      <w:tr w:rsidR="00A74AC6" w:rsidRPr="00035EF4" w14:paraId="5C24CDAA" w14:textId="77777777" w:rsidTr="004F32B6">
        <w:tc>
          <w:tcPr>
            <w:tcW w:w="5000" w:type="pct"/>
            <w:gridSpan w:val="5"/>
            <w:tcBorders>
              <w:bottom w:val="single" w:sz="4" w:space="0" w:color="1D2030" w:themeColor="text1"/>
            </w:tcBorders>
            <w:tcMar>
              <w:top w:w="0" w:type="dxa"/>
              <w:bottom w:w="0" w:type="dxa"/>
            </w:tcMar>
          </w:tcPr>
          <w:p w14:paraId="17E58B7C" w14:textId="77777777" w:rsidR="00A74AC6" w:rsidRPr="00035EF4" w:rsidRDefault="00A74AC6" w:rsidP="004F32B6">
            <w:pPr>
              <w:pStyle w:val="TableTextSmall"/>
              <w:spacing w:before="70" w:after="70" w:line="240" w:lineRule="auto"/>
              <w:rPr>
                <w:spacing w:val="-1"/>
                <w:sz w:val="13"/>
                <w:szCs w:val="13"/>
              </w:rPr>
            </w:pPr>
            <w:r w:rsidRPr="00035EF4">
              <w:rPr>
                <w:spacing w:val="-1"/>
                <w:sz w:val="13"/>
                <w:szCs w:val="13"/>
              </w:rPr>
              <w:t>Reproduction of this document or any part thereof is not permitted without written permission of Ethos Urban Pty Ltd. Ethos Urban operates under a Quality Management System. This report has been prepared and reviewed in accordance with that system. If the report is not signed, it is a preliminary draft.</w:t>
            </w:r>
          </w:p>
        </w:tc>
      </w:tr>
      <w:tr w:rsidR="00A74AC6" w:rsidRPr="00035EF4" w14:paraId="28A981D9" w14:textId="77777777" w:rsidTr="004F32B6">
        <w:trPr>
          <w:trHeight w:val="510"/>
        </w:trPr>
        <w:tc>
          <w:tcPr>
            <w:tcW w:w="556" w:type="pct"/>
            <w:tcBorders>
              <w:bottom w:val="single" w:sz="4" w:space="0" w:color="auto"/>
            </w:tcBorders>
            <w:tcMar>
              <w:top w:w="0" w:type="dxa"/>
              <w:bottom w:w="0" w:type="dxa"/>
            </w:tcMar>
            <w:vAlign w:val="center"/>
          </w:tcPr>
          <w:p w14:paraId="0AF2E6C0" w14:textId="77777777" w:rsidR="00A74AC6" w:rsidRPr="00035EF4" w:rsidRDefault="00A74AC6" w:rsidP="004F32B6">
            <w:pPr>
              <w:pStyle w:val="TableTextSmall"/>
              <w:spacing w:before="40" w:after="40"/>
              <w:rPr>
                <w:spacing w:val="-1"/>
                <w:sz w:val="13"/>
                <w:szCs w:val="13"/>
              </w:rPr>
            </w:pPr>
            <w:r w:rsidRPr="00035EF4">
              <w:rPr>
                <w:noProof/>
                <w:spacing w:val="-1"/>
                <w:sz w:val="13"/>
                <w:szCs w:val="13"/>
              </w:rPr>
              <w:drawing>
                <wp:inline distT="0" distB="0" distL="0" distR="0" wp14:anchorId="4EDD0232" wp14:editId="61AAF661">
                  <wp:extent cx="571500" cy="215900"/>
                  <wp:effectExtent l="0" t="0" r="0" b="0"/>
                  <wp:docPr id="14" name="Picture 14" descr="P62C28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P62C28T1#yI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1500" cy="215900"/>
                          </a:xfrm>
                          <a:prstGeom prst="rect">
                            <a:avLst/>
                          </a:prstGeom>
                        </pic:spPr>
                      </pic:pic>
                    </a:graphicData>
                  </a:graphic>
                </wp:inline>
              </w:drawing>
            </w:r>
          </w:p>
        </w:tc>
        <w:tc>
          <w:tcPr>
            <w:tcW w:w="4444" w:type="pct"/>
            <w:gridSpan w:val="4"/>
            <w:tcBorders>
              <w:bottom w:val="single" w:sz="4" w:space="0" w:color="auto"/>
            </w:tcBorders>
            <w:tcMar>
              <w:top w:w="0" w:type="dxa"/>
              <w:bottom w:w="0" w:type="dxa"/>
            </w:tcMar>
            <w:vAlign w:val="center"/>
          </w:tcPr>
          <w:p w14:paraId="238B0E1F" w14:textId="2DDA0BBA" w:rsidR="00A74AC6" w:rsidRPr="00035EF4" w:rsidRDefault="00A74AC6" w:rsidP="004F32B6">
            <w:pPr>
              <w:pStyle w:val="Footer"/>
              <w:rPr>
                <w:sz w:val="13"/>
                <w:szCs w:val="13"/>
              </w:rPr>
            </w:pPr>
            <w:r w:rsidRPr="00035EF4">
              <w:rPr>
                <w:sz w:val="13"/>
                <w:szCs w:val="13"/>
              </w:rPr>
              <w:t>Ethos Urban Pty Ltd </w:t>
            </w:r>
            <w:r w:rsidRPr="00E83DA9">
              <w:rPr>
                <w:b/>
                <w:bCs/>
                <w:color w:val="0C008E" w:themeColor="text2"/>
                <w:sz w:val="13"/>
                <w:szCs w:val="13"/>
              </w:rPr>
              <w:t>|</w:t>
            </w:r>
            <w:r w:rsidRPr="00035EF4">
              <w:rPr>
                <w:sz w:val="13"/>
                <w:szCs w:val="13"/>
              </w:rPr>
              <w:t> ABN 13 615 087 931 </w:t>
            </w:r>
            <w:r w:rsidRPr="00E83DA9">
              <w:rPr>
                <w:b/>
                <w:bCs/>
                <w:color w:val="0C008E" w:themeColor="text2"/>
                <w:sz w:val="13"/>
                <w:szCs w:val="13"/>
              </w:rPr>
              <w:t>|</w:t>
            </w:r>
            <w:r>
              <w:rPr>
                <w:b/>
                <w:bCs/>
                <w:sz w:val="13"/>
                <w:szCs w:val="13"/>
              </w:rPr>
              <w:t xml:space="preserve"> </w:t>
            </w:r>
            <w:r w:rsidRPr="00035EF4">
              <w:rPr>
                <w:sz w:val="13"/>
                <w:szCs w:val="13"/>
              </w:rPr>
              <w:t xml:space="preserve">Level 8, 30 Collins Street, Melbourne VIC </w:t>
            </w:r>
            <w:r w:rsidR="004F32B6">
              <w:rPr>
                <w:sz w:val="13"/>
                <w:szCs w:val="13"/>
              </w:rPr>
              <w:t xml:space="preserve"> 3</w:t>
            </w:r>
            <w:r w:rsidR="004F32B6" w:rsidRPr="00035EF4">
              <w:rPr>
                <w:sz w:val="13"/>
                <w:szCs w:val="13"/>
              </w:rPr>
              <w:t xml:space="preserve">000 </w:t>
            </w:r>
            <w:r w:rsidR="004F32B6">
              <w:rPr>
                <w:sz w:val="13"/>
                <w:szCs w:val="13"/>
              </w:rPr>
              <w:t>(</w:t>
            </w:r>
            <w:r w:rsidRPr="00035EF4">
              <w:rPr>
                <w:sz w:val="13"/>
                <w:szCs w:val="13"/>
              </w:rPr>
              <w:t xml:space="preserve">Wurundjeri Woi Wurrung Land) </w:t>
            </w:r>
            <w:r>
              <w:rPr>
                <w:sz w:val="13"/>
                <w:szCs w:val="13"/>
              </w:rPr>
              <w:t>Melbourne</w:t>
            </w:r>
            <w:r w:rsidRPr="00035EF4">
              <w:rPr>
                <w:sz w:val="13"/>
                <w:szCs w:val="13"/>
              </w:rPr>
              <w:t xml:space="preserve"> </w:t>
            </w:r>
            <w:r w:rsidRPr="00035EF4">
              <w:rPr>
                <w:sz w:val="13"/>
                <w:szCs w:val="13"/>
              </w:rPr>
              <w:t> </w:t>
            </w:r>
            <w:r w:rsidRPr="00E83DA9">
              <w:rPr>
                <w:b/>
                <w:bCs/>
                <w:color w:val="0C008E" w:themeColor="text2"/>
                <w:sz w:val="13"/>
                <w:szCs w:val="13"/>
              </w:rPr>
              <w:t>|</w:t>
            </w:r>
            <w:r w:rsidRPr="00035EF4">
              <w:rPr>
                <w:sz w:val="13"/>
                <w:szCs w:val="13"/>
              </w:rPr>
              <w:t> +61 3 9419 7226 </w:t>
            </w:r>
            <w:r w:rsidRPr="00E83DA9">
              <w:rPr>
                <w:b/>
                <w:bCs/>
                <w:color w:val="0C008E" w:themeColor="text2"/>
                <w:sz w:val="13"/>
                <w:szCs w:val="13"/>
              </w:rPr>
              <w:t>|</w:t>
            </w:r>
            <w:r w:rsidRPr="00035EF4">
              <w:rPr>
                <w:sz w:val="13"/>
                <w:szCs w:val="13"/>
              </w:rPr>
              <w:t> </w:t>
            </w:r>
            <w:hyperlink r:id="rId14" w:history="1">
              <w:r w:rsidRPr="00035EF4">
                <w:rPr>
                  <w:sz w:val="13"/>
                  <w:szCs w:val="13"/>
                </w:rPr>
                <w:t>ethosurban.com</w:t>
              </w:r>
            </w:hyperlink>
          </w:p>
        </w:tc>
      </w:tr>
    </w:tbl>
    <w:p w14:paraId="0B3EED17" w14:textId="77777777" w:rsidR="00465328" w:rsidRDefault="00465328" w:rsidP="004D55BC">
      <w:pPr>
        <w:pStyle w:val="IntroCopy"/>
        <w:rPr>
          <w:lang w:val="en-US"/>
        </w:rPr>
        <w:sectPr w:rsidR="00465328" w:rsidSect="00CE54CF">
          <w:headerReference w:type="default" r:id="rId15"/>
          <w:footerReference w:type="default" r:id="rId16"/>
          <w:headerReference w:type="first" r:id="rId17"/>
          <w:footerReference w:type="first" r:id="rId18"/>
          <w:pgSz w:w="11906" w:h="16838" w:code="9"/>
          <w:pgMar w:top="1134" w:right="850" w:bottom="1134" w:left="850" w:header="567" w:footer="283" w:gutter="0"/>
          <w:cols w:space="708"/>
          <w:docGrid w:linePitch="360"/>
        </w:sectPr>
      </w:pPr>
    </w:p>
    <w:p w14:paraId="081A38C4" w14:textId="77777777" w:rsidR="002253E9" w:rsidRDefault="002253E9" w:rsidP="00A44A05">
      <w:pPr>
        <w:pStyle w:val="TOCHeading"/>
      </w:pPr>
      <w:r>
        <w:lastRenderedPageBreak/>
        <w:t>Contents</w:t>
      </w:r>
    </w:p>
    <w:p w14:paraId="499A578F" w14:textId="2B406FFC" w:rsidR="00DA0A24" w:rsidRDefault="002661BB">
      <w:pPr>
        <w:pStyle w:val="TOC1"/>
        <w:rPr>
          <w:rFonts w:asciiTheme="minorHAnsi" w:eastAsiaTheme="minorEastAsia" w:hAnsiTheme="minorHAnsi"/>
          <w:noProof/>
          <w:color w:val="auto"/>
          <w:kern w:val="2"/>
          <w:sz w:val="22"/>
          <w:lang w:eastAsia="en-AU"/>
          <w14:ligatures w14:val="standardContextual"/>
        </w:rPr>
      </w:pPr>
      <w:r>
        <w:rPr>
          <w:rFonts w:asciiTheme="minorHAnsi" w:hAnsiTheme="minorHAnsi"/>
          <w:color w:val="auto"/>
          <w:sz w:val="17"/>
        </w:rPr>
        <w:fldChar w:fldCharType="begin"/>
      </w:r>
      <w:r>
        <w:instrText xml:space="preserve"> TOC z \t "Heading 1,1,Heading 2,2, Heading 1 (No Numbers),1" </w:instrText>
      </w:r>
      <w:r>
        <w:rPr>
          <w:rFonts w:asciiTheme="minorHAnsi" w:hAnsiTheme="minorHAnsi"/>
          <w:color w:val="auto"/>
          <w:sz w:val="17"/>
        </w:rPr>
        <w:fldChar w:fldCharType="separate"/>
      </w:r>
      <w:r w:rsidR="00DA0A24">
        <w:rPr>
          <w:noProof/>
        </w:rPr>
        <w:t>Executive Summary</w:t>
      </w:r>
      <w:r w:rsidR="00DA0A24">
        <w:rPr>
          <w:noProof/>
        </w:rPr>
        <w:tab/>
      </w:r>
      <w:r w:rsidR="00DA0A24">
        <w:rPr>
          <w:noProof/>
        </w:rPr>
        <w:fldChar w:fldCharType="begin"/>
      </w:r>
      <w:r w:rsidR="00DA0A24">
        <w:rPr>
          <w:noProof/>
        </w:rPr>
        <w:instrText xml:space="preserve"> PAGEREF _Toc152146925 \h </w:instrText>
      </w:r>
      <w:r w:rsidR="00DA0A24">
        <w:rPr>
          <w:noProof/>
        </w:rPr>
      </w:r>
      <w:r w:rsidR="00DA0A24">
        <w:rPr>
          <w:noProof/>
        </w:rPr>
        <w:fldChar w:fldCharType="separate"/>
      </w:r>
      <w:r w:rsidR="007F66EC">
        <w:rPr>
          <w:noProof/>
        </w:rPr>
        <w:t>6</w:t>
      </w:r>
      <w:r w:rsidR="00DA0A24">
        <w:rPr>
          <w:noProof/>
        </w:rPr>
        <w:fldChar w:fldCharType="end"/>
      </w:r>
    </w:p>
    <w:p w14:paraId="411DF0E0" w14:textId="570C4682"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1.0</w:t>
      </w:r>
      <w:r>
        <w:rPr>
          <w:rFonts w:asciiTheme="minorHAnsi" w:eastAsiaTheme="minorEastAsia" w:hAnsiTheme="minorHAnsi"/>
          <w:noProof/>
          <w:color w:val="auto"/>
          <w:kern w:val="2"/>
          <w:sz w:val="22"/>
          <w:lang w:eastAsia="en-AU"/>
          <w14:ligatures w14:val="standardContextual"/>
        </w:rPr>
        <w:tab/>
      </w:r>
      <w:r>
        <w:rPr>
          <w:noProof/>
        </w:rPr>
        <w:t>Introduction</w:t>
      </w:r>
      <w:r>
        <w:rPr>
          <w:noProof/>
        </w:rPr>
        <w:tab/>
      </w:r>
      <w:r>
        <w:rPr>
          <w:noProof/>
        </w:rPr>
        <w:fldChar w:fldCharType="begin"/>
      </w:r>
      <w:r>
        <w:rPr>
          <w:noProof/>
        </w:rPr>
        <w:instrText xml:space="preserve"> PAGEREF _Toc152146926 \h </w:instrText>
      </w:r>
      <w:r>
        <w:rPr>
          <w:noProof/>
        </w:rPr>
      </w:r>
      <w:r>
        <w:rPr>
          <w:noProof/>
        </w:rPr>
        <w:fldChar w:fldCharType="separate"/>
      </w:r>
      <w:r w:rsidR="007F66EC">
        <w:rPr>
          <w:noProof/>
        </w:rPr>
        <w:t>8</w:t>
      </w:r>
      <w:r>
        <w:rPr>
          <w:noProof/>
        </w:rPr>
        <w:fldChar w:fldCharType="end"/>
      </w:r>
    </w:p>
    <w:p w14:paraId="34AE98BE" w14:textId="66B43E37" w:rsidR="00DA0A24" w:rsidRDefault="00DA0A24">
      <w:pPr>
        <w:pStyle w:val="TOC2"/>
        <w:rPr>
          <w:rFonts w:eastAsiaTheme="minorEastAsia"/>
          <w:noProof/>
          <w:color w:val="auto"/>
          <w:kern w:val="2"/>
          <w:sz w:val="22"/>
          <w:lang w:eastAsia="en-AU"/>
          <w14:ligatures w14:val="standardContextual"/>
        </w:rPr>
      </w:pPr>
      <w:r>
        <w:rPr>
          <w:noProof/>
        </w:rPr>
        <w:t>1.1</w:t>
      </w:r>
      <w:r>
        <w:rPr>
          <w:rFonts w:eastAsiaTheme="minorEastAsia"/>
          <w:noProof/>
          <w:color w:val="auto"/>
          <w:kern w:val="2"/>
          <w:sz w:val="22"/>
          <w:lang w:eastAsia="en-AU"/>
          <w14:ligatures w14:val="standardContextual"/>
        </w:rPr>
        <w:tab/>
      </w:r>
      <w:r>
        <w:rPr>
          <w:noProof/>
        </w:rPr>
        <w:t>Purpose of this Report</w:t>
      </w:r>
      <w:r>
        <w:rPr>
          <w:noProof/>
        </w:rPr>
        <w:tab/>
      </w:r>
      <w:r>
        <w:rPr>
          <w:noProof/>
        </w:rPr>
        <w:fldChar w:fldCharType="begin"/>
      </w:r>
      <w:r>
        <w:rPr>
          <w:noProof/>
        </w:rPr>
        <w:instrText xml:space="preserve"> PAGEREF _Toc152146927 \h </w:instrText>
      </w:r>
      <w:r>
        <w:rPr>
          <w:noProof/>
        </w:rPr>
      </w:r>
      <w:r>
        <w:rPr>
          <w:noProof/>
        </w:rPr>
        <w:fldChar w:fldCharType="separate"/>
      </w:r>
      <w:r w:rsidR="007F66EC">
        <w:rPr>
          <w:noProof/>
        </w:rPr>
        <w:t>8</w:t>
      </w:r>
      <w:r>
        <w:rPr>
          <w:noProof/>
        </w:rPr>
        <w:fldChar w:fldCharType="end"/>
      </w:r>
    </w:p>
    <w:p w14:paraId="292682EC" w14:textId="0BA1266B" w:rsidR="00DA0A24" w:rsidRDefault="00DA0A24">
      <w:pPr>
        <w:pStyle w:val="TOC2"/>
        <w:rPr>
          <w:rFonts w:eastAsiaTheme="minorEastAsia"/>
          <w:noProof/>
          <w:color w:val="auto"/>
          <w:kern w:val="2"/>
          <w:sz w:val="22"/>
          <w:lang w:eastAsia="en-AU"/>
          <w14:ligatures w14:val="standardContextual"/>
        </w:rPr>
      </w:pPr>
      <w:r>
        <w:rPr>
          <w:noProof/>
        </w:rPr>
        <w:t>1.2</w:t>
      </w:r>
      <w:r>
        <w:rPr>
          <w:rFonts w:eastAsiaTheme="minorEastAsia"/>
          <w:noProof/>
          <w:color w:val="auto"/>
          <w:kern w:val="2"/>
          <w:sz w:val="22"/>
          <w:lang w:eastAsia="en-AU"/>
          <w14:ligatures w14:val="standardContextual"/>
        </w:rPr>
        <w:tab/>
      </w:r>
      <w:r>
        <w:rPr>
          <w:noProof/>
        </w:rPr>
        <w:t>Planning Summary</w:t>
      </w:r>
      <w:r>
        <w:rPr>
          <w:noProof/>
        </w:rPr>
        <w:tab/>
      </w:r>
      <w:r>
        <w:rPr>
          <w:noProof/>
        </w:rPr>
        <w:fldChar w:fldCharType="begin"/>
      </w:r>
      <w:r>
        <w:rPr>
          <w:noProof/>
        </w:rPr>
        <w:instrText xml:space="preserve"> PAGEREF _Toc152146928 \h </w:instrText>
      </w:r>
      <w:r>
        <w:rPr>
          <w:noProof/>
        </w:rPr>
      </w:r>
      <w:r>
        <w:rPr>
          <w:noProof/>
        </w:rPr>
        <w:fldChar w:fldCharType="separate"/>
      </w:r>
      <w:r w:rsidR="007F66EC">
        <w:rPr>
          <w:noProof/>
        </w:rPr>
        <w:t>8</w:t>
      </w:r>
      <w:r>
        <w:rPr>
          <w:noProof/>
        </w:rPr>
        <w:fldChar w:fldCharType="end"/>
      </w:r>
    </w:p>
    <w:p w14:paraId="45795FAA" w14:textId="304BC45F" w:rsidR="00DA0A24" w:rsidRDefault="00DA0A24">
      <w:pPr>
        <w:pStyle w:val="TOC2"/>
        <w:rPr>
          <w:rFonts w:eastAsiaTheme="minorEastAsia"/>
          <w:noProof/>
          <w:color w:val="auto"/>
          <w:kern w:val="2"/>
          <w:sz w:val="22"/>
          <w:lang w:eastAsia="en-AU"/>
          <w14:ligatures w14:val="standardContextual"/>
        </w:rPr>
      </w:pPr>
      <w:r>
        <w:rPr>
          <w:noProof/>
        </w:rPr>
        <w:t>1.3</w:t>
      </w:r>
      <w:r>
        <w:rPr>
          <w:rFonts w:eastAsiaTheme="minorEastAsia"/>
          <w:noProof/>
          <w:color w:val="auto"/>
          <w:kern w:val="2"/>
          <w:sz w:val="22"/>
          <w:lang w:eastAsia="en-AU"/>
          <w14:ligatures w14:val="standardContextual"/>
        </w:rPr>
        <w:tab/>
      </w:r>
      <w:r>
        <w:rPr>
          <w:noProof/>
        </w:rPr>
        <w:t>Consultation</w:t>
      </w:r>
      <w:r>
        <w:rPr>
          <w:noProof/>
        </w:rPr>
        <w:tab/>
      </w:r>
      <w:r>
        <w:rPr>
          <w:noProof/>
        </w:rPr>
        <w:fldChar w:fldCharType="begin"/>
      </w:r>
      <w:r>
        <w:rPr>
          <w:noProof/>
        </w:rPr>
        <w:instrText xml:space="preserve"> PAGEREF _Toc152146929 \h </w:instrText>
      </w:r>
      <w:r>
        <w:rPr>
          <w:noProof/>
        </w:rPr>
      </w:r>
      <w:r>
        <w:rPr>
          <w:noProof/>
        </w:rPr>
        <w:fldChar w:fldCharType="separate"/>
      </w:r>
      <w:r w:rsidR="007F66EC">
        <w:rPr>
          <w:noProof/>
        </w:rPr>
        <w:t>9</w:t>
      </w:r>
      <w:r>
        <w:rPr>
          <w:noProof/>
        </w:rPr>
        <w:fldChar w:fldCharType="end"/>
      </w:r>
    </w:p>
    <w:p w14:paraId="5C57E4FB" w14:textId="0ED6A259" w:rsidR="00DA0A24" w:rsidRDefault="00DA0A24">
      <w:pPr>
        <w:pStyle w:val="TOC2"/>
        <w:rPr>
          <w:rFonts w:eastAsiaTheme="minorEastAsia"/>
          <w:noProof/>
          <w:color w:val="auto"/>
          <w:kern w:val="2"/>
          <w:sz w:val="22"/>
          <w:lang w:eastAsia="en-AU"/>
          <w14:ligatures w14:val="standardContextual"/>
        </w:rPr>
      </w:pPr>
      <w:r>
        <w:rPr>
          <w:noProof/>
        </w:rPr>
        <w:t>1.4</w:t>
      </w:r>
      <w:r>
        <w:rPr>
          <w:rFonts w:eastAsiaTheme="minorEastAsia"/>
          <w:noProof/>
          <w:color w:val="auto"/>
          <w:kern w:val="2"/>
          <w:sz w:val="22"/>
          <w:lang w:eastAsia="en-AU"/>
          <w14:ligatures w14:val="standardContextual"/>
        </w:rPr>
        <w:tab/>
      </w:r>
      <w:r>
        <w:rPr>
          <w:noProof/>
        </w:rPr>
        <w:t>Background to the Electrical Trade Union</w:t>
      </w:r>
      <w:r>
        <w:rPr>
          <w:noProof/>
        </w:rPr>
        <w:tab/>
      </w:r>
      <w:r>
        <w:rPr>
          <w:noProof/>
        </w:rPr>
        <w:fldChar w:fldCharType="begin"/>
      </w:r>
      <w:r>
        <w:rPr>
          <w:noProof/>
        </w:rPr>
        <w:instrText xml:space="preserve"> PAGEREF _Toc152146930 \h </w:instrText>
      </w:r>
      <w:r>
        <w:rPr>
          <w:noProof/>
        </w:rPr>
      </w:r>
      <w:r>
        <w:rPr>
          <w:noProof/>
        </w:rPr>
        <w:fldChar w:fldCharType="separate"/>
      </w:r>
      <w:r w:rsidR="007F66EC">
        <w:rPr>
          <w:noProof/>
        </w:rPr>
        <w:t>10</w:t>
      </w:r>
      <w:r>
        <w:rPr>
          <w:noProof/>
        </w:rPr>
        <w:fldChar w:fldCharType="end"/>
      </w:r>
    </w:p>
    <w:p w14:paraId="32F8646D" w14:textId="4AA0732C"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2.0</w:t>
      </w:r>
      <w:r>
        <w:rPr>
          <w:rFonts w:asciiTheme="minorHAnsi" w:eastAsiaTheme="minorEastAsia" w:hAnsiTheme="minorHAnsi"/>
          <w:noProof/>
          <w:color w:val="auto"/>
          <w:kern w:val="2"/>
          <w:sz w:val="22"/>
          <w:lang w:eastAsia="en-AU"/>
          <w14:ligatures w14:val="standardContextual"/>
        </w:rPr>
        <w:tab/>
      </w:r>
      <w:r>
        <w:rPr>
          <w:noProof/>
        </w:rPr>
        <w:t>Site Location and Context</w:t>
      </w:r>
      <w:r>
        <w:rPr>
          <w:noProof/>
        </w:rPr>
        <w:tab/>
      </w:r>
      <w:r>
        <w:rPr>
          <w:noProof/>
        </w:rPr>
        <w:fldChar w:fldCharType="begin"/>
      </w:r>
      <w:r>
        <w:rPr>
          <w:noProof/>
        </w:rPr>
        <w:instrText xml:space="preserve"> PAGEREF _Toc152146931 \h </w:instrText>
      </w:r>
      <w:r>
        <w:rPr>
          <w:noProof/>
        </w:rPr>
      </w:r>
      <w:r>
        <w:rPr>
          <w:noProof/>
        </w:rPr>
        <w:fldChar w:fldCharType="separate"/>
      </w:r>
      <w:r w:rsidR="007F66EC">
        <w:rPr>
          <w:noProof/>
        </w:rPr>
        <w:t>11</w:t>
      </w:r>
      <w:r>
        <w:rPr>
          <w:noProof/>
        </w:rPr>
        <w:fldChar w:fldCharType="end"/>
      </w:r>
    </w:p>
    <w:p w14:paraId="7E316B02" w14:textId="30258E55" w:rsidR="00DA0A24" w:rsidRDefault="00DA0A24">
      <w:pPr>
        <w:pStyle w:val="TOC2"/>
        <w:rPr>
          <w:rFonts w:eastAsiaTheme="minorEastAsia"/>
          <w:noProof/>
          <w:color w:val="auto"/>
          <w:kern w:val="2"/>
          <w:sz w:val="22"/>
          <w:lang w:eastAsia="en-AU"/>
          <w14:ligatures w14:val="standardContextual"/>
        </w:rPr>
      </w:pPr>
      <w:r>
        <w:rPr>
          <w:noProof/>
        </w:rPr>
        <w:t>2.1</w:t>
      </w:r>
      <w:r>
        <w:rPr>
          <w:rFonts w:eastAsiaTheme="minorEastAsia"/>
          <w:noProof/>
          <w:color w:val="auto"/>
          <w:kern w:val="2"/>
          <w:sz w:val="22"/>
          <w:lang w:eastAsia="en-AU"/>
          <w14:ligatures w14:val="standardContextual"/>
        </w:rPr>
        <w:tab/>
      </w:r>
      <w:r>
        <w:rPr>
          <w:noProof/>
        </w:rPr>
        <w:t>The Subject Site</w:t>
      </w:r>
      <w:r>
        <w:rPr>
          <w:noProof/>
        </w:rPr>
        <w:tab/>
      </w:r>
      <w:r>
        <w:rPr>
          <w:noProof/>
        </w:rPr>
        <w:fldChar w:fldCharType="begin"/>
      </w:r>
      <w:r>
        <w:rPr>
          <w:noProof/>
        </w:rPr>
        <w:instrText xml:space="preserve"> PAGEREF _Toc152146932 \h </w:instrText>
      </w:r>
      <w:r>
        <w:rPr>
          <w:noProof/>
        </w:rPr>
      </w:r>
      <w:r>
        <w:rPr>
          <w:noProof/>
        </w:rPr>
        <w:fldChar w:fldCharType="separate"/>
      </w:r>
      <w:r w:rsidR="007F66EC">
        <w:rPr>
          <w:noProof/>
        </w:rPr>
        <w:t>11</w:t>
      </w:r>
      <w:r>
        <w:rPr>
          <w:noProof/>
        </w:rPr>
        <w:fldChar w:fldCharType="end"/>
      </w:r>
    </w:p>
    <w:p w14:paraId="48E31B85" w14:textId="3592287A" w:rsidR="00DA0A24" w:rsidRDefault="00DA0A24">
      <w:pPr>
        <w:pStyle w:val="TOC2"/>
        <w:rPr>
          <w:rFonts w:eastAsiaTheme="minorEastAsia"/>
          <w:noProof/>
          <w:color w:val="auto"/>
          <w:kern w:val="2"/>
          <w:sz w:val="22"/>
          <w:lang w:eastAsia="en-AU"/>
          <w14:ligatures w14:val="standardContextual"/>
        </w:rPr>
      </w:pPr>
      <w:r>
        <w:rPr>
          <w:noProof/>
        </w:rPr>
        <w:t>2.2</w:t>
      </w:r>
      <w:r>
        <w:rPr>
          <w:rFonts w:eastAsiaTheme="minorEastAsia"/>
          <w:noProof/>
          <w:color w:val="auto"/>
          <w:kern w:val="2"/>
          <w:sz w:val="22"/>
          <w:lang w:eastAsia="en-AU"/>
          <w14:ligatures w14:val="standardContextual"/>
        </w:rPr>
        <w:tab/>
      </w:r>
      <w:r>
        <w:rPr>
          <w:noProof/>
        </w:rPr>
        <w:t>Surrounding Area</w:t>
      </w:r>
      <w:r>
        <w:rPr>
          <w:noProof/>
        </w:rPr>
        <w:tab/>
      </w:r>
      <w:r>
        <w:rPr>
          <w:noProof/>
        </w:rPr>
        <w:fldChar w:fldCharType="begin"/>
      </w:r>
      <w:r>
        <w:rPr>
          <w:noProof/>
        </w:rPr>
        <w:instrText xml:space="preserve"> PAGEREF _Toc152146933 \h </w:instrText>
      </w:r>
      <w:r>
        <w:rPr>
          <w:noProof/>
        </w:rPr>
      </w:r>
      <w:r>
        <w:rPr>
          <w:noProof/>
        </w:rPr>
        <w:fldChar w:fldCharType="separate"/>
      </w:r>
      <w:r w:rsidR="007F66EC">
        <w:rPr>
          <w:noProof/>
        </w:rPr>
        <w:t>12</w:t>
      </w:r>
      <w:r>
        <w:rPr>
          <w:noProof/>
        </w:rPr>
        <w:fldChar w:fldCharType="end"/>
      </w:r>
    </w:p>
    <w:p w14:paraId="4BA39774" w14:textId="64C30C8A" w:rsidR="00DA0A24" w:rsidRDefault="00DA0A24">
      <w:pPr>
        <w:pStyle w:val="TOC2"/>
        <w:rPr>
          <w:rFonts w:eastAsiaTheme="minorEastAsia"/>
          <w:noProof/>
          <w:color w:val="auto"/>
          <w:kern w:val="2"/>
          <w:sz w:val="22"/>
          <w:lang w:eastAsia="en-AU"/>
          <w14:ligatures w14:val="standardContextual"/>
        </w:rPr>
      </w:pPr>
      <w:r>
        <w:rPr>
          <w:noProof/>
        </w:rPr>
        <w:t>2.3</w:t>
      </w:r>
      <w:r>
        <w:rPr>
          <w:rFonts w:eastAsiaTheme="minorEastAsia"/>
          <w:noProof/>
          <w:color w:val="auto"/>
          <w:kern w:val="2"/>
          <w:sz w:val="22"/>
          <w:lang w:eastAsia="en-AU"/>
          <w14:ligatures w14:val="standardContextual"/>
        </w:rPr>
        <w:tab/>
      </w:r>
      <w:r>
        <w:rPr>
          <w:noProof/>
        </w:rPr>
        <w:t>Strategic Context</w:t>
      </w:r>
      <w:r>
        <w:rPr>
          <w:noProof/>
        </w:rPr>
        <w:tab/>
      </w:r>
      <w:r>
        <w:rPr>
          <w:noProof/>
        </w:rPr>
        <w:fldChar w:fldCharType="begin"/>
      </w:r>
      <w:r>
        <w:rPr>
          <w:noProof/>
        </w:rPr>
        <w:instrText xml:space="preserve"> PAGEREF _Toc152146934 \h </w:instrText>
      </w:r>
      <w:r>
        <w:rPr>
          <w:noProof/>
        </w:rPr>
      </w:r>
      <w:r>
        <w:rPr>
          <w:noProof/>
        </w:rPr>
        <w:fldChar w:fldCharType="separate"/>
      </w:r>
      <w:r w:rsidR="007F66EC">
        <w:rPr>
          <w:noProof/>
        </w:rPr>
        <w:t>15</w:t>
      </w:r>
      <w:r>
        <w:rPr>
          <w:noProof/>
        </w:rPr>
        <w:fldChar w:fldCharType="end"/>
      </w:r>
    </w:p>
    <w:p w14:paraId="5DF62AAF" w14:textId="0167B943"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3.0</w:t>
      </w:r>
      <w:r>
        <w:rPr>
          <w:rFonts w:asciiTheme="minorHAnsi" w:eastAsiaTheme="minorEastAsia" w:hAnsiTheme="minorHAnsi"/>
          <w:noProof/>
          <w:color w:val="auto"/>
          <w:kern w:val="2"/>
          <w:sz w:val="22"/>
          <w:lang w:eastAsia="en-AU"/>
          <w14:ligatures w14:val="standardContextual"/>
        </w:rPr>
        <w:tab/>
      </w:r>
      <w:r>
        <w:rPr>
          <w:noProof/>
        </w:rPr>
        <w:t>Existing Planning Controls</w:t>
      </w:r>
      <w:r>
        <w:rPr>
          <w:noProof/>
        </w:rPr>
        <w:tab/>
      </w:r>
      <w:r>
        <w:rPr>
          <w:noProof/>
        </w:rPr>
        <w:fldChar w:fldCharType="begin"/>
      </w:r>
      <w:r>
        <w:rPr>
          <w:noProof/>
        </w:rPr>
        <w:instrText xml:space="preserve"> PAGEREF _Toc152146935 \h </w:instrText>
      </w:r>
      <w:r>
        <w:rPr>
          <w:noProof/>
        </w:rPr>
      </w:r>
      <w:r>
        <w:rPr>
          <w:noProof/>
        </w:rPr>
        <w:fldChar w:fldCharType="separate"/>
      </w:r>
      <w:r w:rsidR="007F66EC">
        <w:rPr>
          <w:noProof/>
        </w:rPr>
        <w:t>16</w:t>
      </w:r>
      <w:r>
        <w:rPr>
          <w:noProof/>
        </w:rPr>
        <w:fldChar w:fldCharType="end"/>
      </w:r>
    </w:p>
    <w:p w14:paraId="47D06AD8" w14:textId="080EE744" w:rsidR="00DA0A24" w:rsidRDefault="00DA0A24">
      <w:pPr>
        <w:pStyle w:val="TOC2"/>
        <w:rPr>
          <w:rFonts w:eastAsiaTheme="minorEastAsia"/>
          <w:noProof/>
          <w:color w:val="auto"/>
          <w:kern w:val="2"/>
          <w:sz w:val="22"/>
          <w:lang w:eastAsia="en-AU"/>
          <w14:ligatures w14:val="standardContextual"/>
        </w:rPr>
      </w:pPr>
      <w:r>
        <w:rPr>
          <w:noProof/>
        </w:rPr>
        <w:t>3.1</w:t>
      </w:r>
      <w:r>
        <w:rPr>
          <w:rFonts w:eastAsiaTheme="minorEastAsia"/>
          <w:noProof/>
          <w:color w:val="auto"/>
          <w:kern w:val="2"/>
          <w:sz w:val="22"/>
          <w:lang w:eastAsia="en-AU"/>
          <w14:ligatures w14:val="standardContextual"/>
        </w:rPr>
        <w:tab/>
      </w:r>
      <w:r>
        <w:rPr>
          <w:noProof/>
        </w:rPr>
        <w:t>Municipal Planning Strategy (MPS)</w:t>
      </w:r>
      <w:r>
        <w:rPr>
          <w:noProof/>
        </w:rPr>
        <w:tab/>
      </w:r>
      <w:r>
        <w:rPr>
          <w:noProof/>
        </w:rPr>
        <w:fldChar w:fldCharType="begin"/>
      </w:r>
      <w:r>
        <w:rPr>
          <w:noProof/>
        </w:rPr>
        <w:instrText xml:space="preserve"> PAGEREF _Toc152146936 \h </w:instrText>
      </w:r>
      <w:r>
        <w:rPr>
          <w:noProof/>
        </w:rPr>
      </w:r>
      <w:r>
        <w:rPr>
          <w:noProof/>
        </w:rPr>
        <w:fldChar w:fldCharType="separate"/>
      </w:r>
      <w:r w:rsidR="007F66EC">
        <w:rPr>
          <w:noProof/>
        </w:rPr>
        <w:t>16</w:t>
      </w:r>
      <w:r>
        <w:rPr>
          <w:noProof/>
        </w:rPr>
        <w:fldChar w:fldCharType="end"/>
      </w:r>
    </w:p>
    <w:p w14:paraId="219FB032" w14:textId="059EC0C7" w:rsidR="00DA0A24" w:rsidRDefault="00DA0A24">
      <w:pPr>
        <w:pStyle w:val="TOC2"/>
        <w:rPr>
          <w:rFonts w:eastAsiaTheme="minorEastAsia"/>
          <w:noProof/>
          <w:color w:val="auto"/>
          <w:kern w:val="2"/>
          <w:sz w:val="22"/>
          <w:lang w:eastAsia="en-AU"/>
          <w14:ligatures w14:val="standardContextual"/>
        </w:rPr>
      </w:pPr>
      <w:r>
        <w:rPr>
          <w:noProof/>
        </w:rPr>
        <w:t>3.2</w:t>
      </w:r>
      <w:r>
        <w:rPr>
          <w:rFonts w:eastAsiaTheme="minorEastAsia"/>
          <w:noProof/>
          <w:color w:val="auto"/>
          <w:kern w:val="2"/>
          <w:sz w:val="22"/>
          <w:lang w:eastAsia="en-AU"/>
          <w14:ligatures w14:val="standardContextual"/>
        </w:rPr>
        <w:tab/>
      </w:r>
      <w:r>
        <w:rPr>
          <w:noProof/>
        </w:rPr>
        <w:t>Planning Policy Framework (PPF)</w:t>
      </w:r>
      <w:r>
        <w:rPr>
          <w:noProof/>
        </w:rPr>
        <w:tab/>
      </w:r>
      <w:r>
        <w:rPr>
          <w:noProof/>
        </w:rPr>
        <w:fldChar w:fldCharType="begin"/>
      </w:r>
      <w:r>
        <w:rPr>
          <w:noProof/>
        </w:rPr>
        <w:instrText xml:space="preserve"> PAGEREF _Toc152146937 \h </w:instrText>
      </w:r>
      <w:r>
        <w:rPr>
          <w:noProof/>
        </w:rPr>
      </w:r>
      <w:r>
        <w:rPr>
          <w:noProof/>
        </w:rPr>
        <w:fldChar w:fldCharType="separate"/>
      </w:r>
      <w:r w:rsidR="007F66EC">
        <w:rPr>
          <w:noProof/>
        </w:rPr>
        <w:t>16</w:t>
      </w:r>
      <w:r>
        <w:rPr>
          <w:noProof/>
        </w:rPr>
        <w:fldChar w:fldCharType="end"/>
      </w:r>
    </w:p>
    <w:p w14:paraId="06372BD5" w14:textId="257A96DB" w:rsidR="00DA0A24" w:rsidRDefault="00DA0A24">
      <w:pPr>
        <w:pStyle w:val="TOC2"/>
        <w:rPr>
          <w:rFonts w:eastAsiaTheme="minorEastAsia"/>
          <w:noProof/>
          <w:color w:val="auto"/>
          <w:kern w:val="2"/>
          <w:sz w:val="22"/>
          <w:lang w:eastAsia="en-AU"/>
          <w14:ligatures w14:val="standardContextual"/>
        </w:rPr>
      </w:pPr>
      <w:r>
        <w:rPr>
          <w:noProof/>
        </w:rPr>
        <w:t>3.3</w:t>
      </w:r>
      <w:r>
        <w:rPr>
          <w:rFonts w:eastAsiaTheme="minorEastAsia"/>
          <w:noProof/>
          <w:color w:val="auto"/>
          <w:kern w:val="2"/>
          <w:sz w:val="22"/>
          <w:lang w:eastAsia="en-AU"/>
          <w14:ligatures w14:val="standardContextual"/>
        </w:rPr>
        <w:tab/>
      </w:r>
      <w:r>
        <w:rPr>
          <w:noProof/>
        </w:rPr>
        <w:t>Zones, Overlays and Particular Provisions</w:t>
      </w:r>
      <w:r>
        <w:rPr>
          <w:noProof/>
        </w:rPr>
        <w:tab/>
      </w:r>
      <w:r>
        <w:rPr>
          <w:noProof/>
        </w:rPr>
        <w:fldChar w:fldCharType="begin"/>
      </w:r>
      <w:r>
        <w:rPr>
          <w:noProof/>
        </w:rPr>
        <w:instrText xml:space="preserve"> PAGEREF _Toc152146938 \h </w:instrText>
      </w:r>
      <w:r>
        <w:rPr>
          <w:noProof/>
        </w:rPr>
      </w:r>
      <w:r>
        <w:rPr>
          <w:noProof/>
        </w:rPr>
        <w:fldChar w:fldCharType="separate"/>
      </w:r>
      <w:r w:rsidR="007F66EC">
        <w:rPr>
          <w:noProof/>
        </w:rPr>
        <w:t>18</w:t>
      </w:r>
      <w:r>
        <w:rPr>
          <w:noProof/>
        </w:rPr>
        <w:fldChar w:fldCharType="end"/>
      </w:r>
    </w:p>
    <w:p w14:paraId="0D9950AA" w14:textId="150E198A"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4.0</w:t>
      </w:r>
      <w:r>
        <w:rPr>
          <w:rFonts w:asciiTheme="minorHAnsi" w:eastAsiaTheme="minorEastAsia" w:hAnsiTheme="minorHAnsi"/>
          <w:noProof/>
          <w:color w:val="auto"/>
          <w:kern w:val="2"/>
          <w:sz w:val="22"/>
          <w:lang w:eastAsia="en-AU"/>
          <w14:ligatures w14:val="standardContextual"/>
        </w:rPr>
        <w:tab/>
      </w:r>
      <w:r>
        <w:rPr>
          <w:noProof/>
        </w:rPr>
        <w:t>The Proposal</w:t>
      </w:r>
      <w:r>
        <w:rPr>
          <w:noProof/>
        </w:rPr>
        <w:tab/>
      </w:r>
      <w:r>
        <w:rPr>
          <w:noProof/>
        </w:rPr>
        <w:fldChar w:fldCharType="begin"/>
      </w:r>
      <w:r>
        <w:rPr>
          <w:noProof/>
        </w:rPr>
        <w:instrText xml:space="preserve"> PAGEREF _Toc152146939 \h </w:instrText>
      </w:r>
      <w:r>
        <w:rPr>
          <w:noProof/>
        </w:rPr>
      </w:r>
      <w:r>
        <w:rPr>
          <w:noProof/>
        </w:rPr>
        <w:fldChar w:fldCharType="separate"/>
      </w:r>
      <w:r w:rsidR="007F66EC">
        <w:rPr>
          <w:noProof/>
        </w:rPr>
        <w:t>22</w:t>
      </w:r>
      <w:r>
        <w:rPr>
          <w:noProof/>
        </w:rPr>
        <w:fldChar w:fldCharType="end"/>
      </w:r>
    </w:p>
    <w:p w14:paraId="4DB84BC5" w14:textId="023C8FD5" w:rsidR="00DA0A24" w:rsidRDefault="00DA0A24">
      <w:pPr>
        <w:pStyle w:val="TOC2"/>
        <w:rPr>
          <w:rFonts w:eastAsiaTheme="minorEastAsia"/>
          <w:noProof/>
          <w:color w:val="auto"/>
          <w:kern w:val="2"/>
          <w:sz w:val="22"/>
          <w:lang w:eastAsia="en-AU"/>
          <w14:ligatures w14:val="standardContextual"/>
        </w:rPr>
      </w:pPr>
      <w:r>
        <w:rPr>
          <w:noProof/>
        </w:rPr>
        <w:t>4.1</w:t>
      </w:r>
      <w:r>
        <w:rPr>
          <w:rFonts w:eastAsiaTheme="minorEastAsia"/>
          <w:noProof/>
          <w:color w:val="auto"/>
          <w:kern w:val="2"/>
          <w:sz w:val="22"/>
          <w:lang w:eastAsia="en-AU"/>
          <w14:ligatures w14:val="standardContextual"/>
        </w:rPr>
        <w:tab/>
      </w:r>
      <w:r>
        <w:rPr>
          <w:noProof/>
        </w:rPr>
        <w:t>Proposed Planning Scheme Amendment</w:t>
      </w:r>
      <w:r>
        <w:rPr>
          <w:noProof/>
        </w:rPr>
        <w:tab/>
      </w:r>
      <w:r>
        <w:rPr>
          <w:noProof/>
        </w:rPr>
        <w:fldChar w:fldCharType="begin"/>
      </w:r>
      <w:r>
        <w:rPr>
          <w:noProof/>
        </w:rPr>
        <w:instrText xml:space="preserve"> PAGEREF _Toc152146940 \h </w:instrText>
      </w:r>
      <w:r>
        <w:rPr>
          <w:noProof/>
        </w:rPr>
      </w:r>
      <w:r>
        <w:rPr>
          <w:noProof/>
        </w:rPr>
        <w:fldChar w:fldCharType="separate"/>
      </w:r>
      <w:r w:rsidR="007F66EC">
        <w:rPr>
          <w:noProof/>
        </w:rPr>
        <w:t>22</w:t>
      </w:r>
      <w:r>
        <w:rPr>
          <w:noProof/>
        </w:rPr>
        <w:fldChar w:fldCharType="end"/>
      </w:r>
    </w:p>
    <w:p w14:paraId="323F9F61" w14:textId="3F6CAD76"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5.0</w:t>
      </w:r>
      <w:r>
        <w:rPr>
          <w:rFonts w:asciiTheme="minorHAnsi" w:eastAsiaTheme="minorEastAsia" w:hAnsiTheme="minorHAnsi"/>
          <w:noProof/>
          <w:color w:val="auto"/>
          <w:kern w:val="2"/>
          <w:sz w:val="22"/>
          <w:lang w:eastAsia="en-AU"/>
          <w14:ligatures w14:val="standardContextual"/>
        </w:rPr>
        <w:tab/>
      </w:r>
      <w:r>
        <w:rPr>
          <w:noProof/>
        </w:rPr>
        <w:t>Planning Assessment</w:t>
      </w:r>
      <w:r>
        <w:rPr>
          <w:noProof/>
        </w:rPr>
        <w:tab/>
      </w:r>
      <w:r>
        <w:rPr>
          <w:noProof/>
        </w:rPr>
        <w:fldChar w:fldCharType="begin"/>
      </w:r>
      <w:r>
        <w:rPr>
          <w:noProof/>
        </w:rPr>
        <w:instrText xml:space="preserve"> PAGEREF _Toc152146941 \h </w:instrText>
      </w:r>
      <w:r>
        <w:rPr>
          <w:noProof/>
        </w:rPr>
      </w:r>
      <w:r>
        <w:rPr>
          <w:noProof/>
        </w:rPr>
        <w:fldChar w:fldCharType="separate"/>
      </w:r>
      <w:r w:rsidR="007F66EC">
        <w:rPr>
          <w:noProof/>
        </w:rPr>
        <w:t>23</w:t>
      </w:r>
      <w:r>
        <w:rPr>
          <w:noProof/>
        </w:rPr>
        <w:fldChar w:fldCharType="end"/>
      </w:r>
    </w:p>
    <w:p w14:paraId="4DD22BC5" w14:textId="17B5D75A" w:rsidR="00DA0A24" w:rsidRDefault="00DA0A24">
      <w:pPr>
        <w:pStyle w:val="TOC2"/>
        <w:rPr>
          <w:rFonts w:eastAsiaTheme="minorEastAsia"/>
          <w:noProof/>
          <w:color w:val="auto"/>
          <w:kern w:val="2"/>
          <w:sz w:val="22"/>
          <w:lang w:eastAsia="en-AU"/>
          <w14:ligatures w14:val="standardContextual"/>
        </w:rPr>
      </w:pPr>
      <w:r>
        <w:rPr>
          <w:noProof/>
        </w:rPr>
        <w:t>5.1</w:t>
      </w:r>
      <w:r>
        <w:rPr>
          <w:rFonts w:eastAsiaTheme="minorEastAsia"/>
          <w:noProof/>
          <w:color w:val="auto"/>
          <w:kern w:val="2"/>
          <w:sz w:val="22"/>
          <w:lang w:eastAsia="en-AU"/>
          <w14:ligatures w14:val="standardContextual"/>
        </w:rPr>
        <w:tab/>
      </w:r>
      <w:r>
        <w:rPr>
          <w:noProof/>
        </w:rPr>
        <w:t>Rezoning the site from the General Residential Zone (GRZ) to the Mixed-Use Zone (MUZ)</w:t>
      </w:r>
      <w:r>
        <w:rPr>
          <w:noProof/>
        </w:rPr>
        <w:tab/>
      </w:r>
      <w:r>
        <w:rPr>
          <w:noProof/>
        </w:rPr>
        <w:fldChar w:fldCharType="begin"/>
      </w:r>
      <w:r>
        <w:rPr>
          <w:noProof/>
        </w:rPr>
        <w:instrText xml:space="preserve"> PAGEREF _Toc152146942 \h </w:instrText>
      </w:r>
      <w:r>
        <w:rPr>
          <w:noProof/>
        </w:rPr>
      </w:r>
      <w:r>
        <w:rPr>
          <w:noProof/>
        </w:rPr>
        <w:fldChar w:fldCharType="separate"/>
      </w:r>
      <w:r w:rsidR="007F66EC">
        <w:rPr>
          <w:noProof/>
        </w:rPr>
        <w:t>23</w:t>
      </w:r>
      <w:r>
        <w:rPr>
          <w:noProof/>
        </w:rPr>
        <w:fldChar w:fldCharType="end"/>
      </w:r>
    </w:p>
    <w:p w14:paraId="12E6151D" w14:textId="1F84EE26" w:rsidR="00DA0A24" w:rsidRDefault="00DA0A24">
      <w:pPr>
        <w:pStyle w:val="TOC2"/>
        <w:rPr>
          <w:rFonts w:eastAsiaTheme="minorEastAsia"/>
          <w:noProof/>
          <w:color w:val="auto"/>
          <w:kern w:val="2"/>
          <w:sz w:val="22"/>
          <w:lang w:eastAsia="en-AU"/>
          <w14:ligatures w14:val="standardContextual"/>
        </w:rPr>
      </w:pPr>
      <w:r>
        <w:rPr>
          <w:noProof/>
        </w:rPr>
        <w:t>5.2</w:t>
      </w:r>
      <w:r>
        <w:rPr>
          <w:rFonts w:eastAsiaTheme="minorEastAsia"/>
          <w:noProof/>
          <w:color w:val="auto"/>
          <w:kern w:val="2"/>
          <w:sz w:val="22"/>
          <w:lang w:eastAsia="en-AU"/>
          <w14:ligatures w14:val="standardContextual"/>
        </w:rPr>
        <w:tab/>
      </w:r>
      <w:r>
        <w:rPr>
          <w:noProof/>
        </w:rPr>
        <w:t>Application of the Design and Development Overlay (DDO)</w:t>
      </w:r>
      <w:r>
        <w:rPr>
          <w:noProof/>
        </w:rPr>
        <w:tab/>
      </w:r>
      <w:r>
        <w:rPr>
          <w:noProof/>
        </w:rPr>
        <w:fldChar w:fldCharType="begin"/>
      </w:r>
      <w:r>
        <w:rPr>
          <w:noProof/>
        </w:rPr>
        <w:instrText xml:space="preserve"> PAGEREF _Toc152146943 \h </w:instrText>
      </w:r>
      <w:r>
        <w:rPr>
          <w:noProof/>
        </w:rPr>
      </w:r>
      <w:r>
        <w:rPr>
          <w:noProof/>
        </w:rPr>
        <w:fldChar w:fldCharType="separate"/>
      </w:r>
      <w:r w:rsidR="007F66EC">
        <w:rPr>
          <w:noProof/>
        </w:rPr>
        <w:t>25</w:t>
      </w:r>
      <w:r>
        <w:rPr>
          <w:noProof/>
        </w:rPr>
        <w:fldChar w:fldCharType="end"/>
      </w:r>
    </w:p>
    <w:p w14:paraId="1FC4A645" w14:textId="20A84D07" w:rsidR="00DA0A24" w:rsidRDefault="00DA0A24">
      <w:pPr>
        <w:pStyle w:val="TOC2"/>
        <w:rPr>
          <w:rFonts w:eastAsiaTheme="minorEastAsia"/>
          <w:noProof/>
          <w:color w:val="auto"/>
          <w:kern w:val="2"/>
          <w:sz w:val="22"/>
          <w:lang w:eastAsia="en-AU"/>
          <w14:ligatures w14:val="standardContextual"/>
        </w:rPr>
      </w:pPr>
      <w:r>
        <w:rPr>
          <w:noProof/>
        </w:rPr>
        <w:t>5.3</w:t>
      </w:r>
      <w:r>
        <w:rPr>
          <w:rFonts w:eastAsiaTheme="minorEastAsia"/>
          <w:noProof/>
          <w:color w:val="auto"/>
          <w:kern w:val="2"/>
          <w:sz w:val="22"/>
          <w:lang w:eastAsia="en-AU"/>
          <w14:ligatures w14:val="standardContextual"/>
        </w:rPr>
        <w:tab/>
      </w:r>
      <w:r>
        <w:rPr>
          <w:noProof/>
        </w:rPr>
        <w:t>Building Height Testing</w:t>
      </w:r>
      <w:r>
        <w:rPr>
          <w:noProof/>
        </w:rPr>
        <w:tab/>
      </w:r>
      <w:r>
        <w:rPr>
          <w:noProof/>
        </w:rPr>
        <w:fldChar w:fldCharType="begin"/>
      </w:r>
      <w:r>
        <w:rPr>
          <w:noProof/>
        </w:rPr>
        <w:instrText xml:space="preserve"> PAGEREF _Toc152146944 \h </w:instrText>
      </w:r>
      <w:r>
        <w:rPr>
          <w:noProof/>
        </w:rPr>
      </w:r>
      <w:r>
        <w:rPr>
          <w:noProof/>
        </w:rPr>
        <w:fldChar w:fldCharType="separate"/>
      </w:r>
      <w:r w:rsidR="007F66EC">
        <w:rPr>
          <w:noProof/>
        </w:rPr>
        <w:t>26</w:t>
      </w:r>
      <w:r>
        <w:rPr>
          <w:noProof/>
        </w:rPr>
        <w:fldChar w:fldCharType="end"/>
      </w:r>
    </w:p>
    <w:p w14:paraId="562B6966" w14:textId="5638708F" w:rsidR="00DA0A24" w:rsidRDefault="00DA0A24">
      <w:pPr>
        <w:pStyle w:val="TOC2"/>
        <w:rPr>
          <w:rFonts w:eastAsiaTheme="minorEastAsia"/>
          <w:noProof/>
          <w:color w:val="auto"/>
          <w:kern w:val="2"/>
          <w:sz w:val="22"/>
          <w:lang w:eastAsia="en-AU"/>
          <w14:ligatures w14:val="standardContextual"/>
        </w:rPr>
      </w:pPr>
      <w:r>
        <w:rPr>
          <w:noProof/>
        </w:rPr>
        <w:t>5.4</w:t>
      </w:r>
      <w:r>
        <w:rPr>
          <w:rFonts w:eastAsiaTheme="minorEastAsia"/>
          <w:noProof/>
          <w:color w:val="auto"/>
          <w:kern w:val="2"/>
          <w:sz w:val="22"/>
          <w:lang w:eastAsia="en-AU"/>
          <w14:ligatures w14:val="standardContextual"/>
        </w:rPr>
        <w:tab/>
      </w:r>
      <w:r>
        <w:rPr>
          <w:noProof/>
        </w:rPr>
        <w:t xml:space="preserve">Response to the PPF </w:t>
      </w:r>
      <w:r>
        <w:rPr>
          <w:noProof/>
        </w:rPr>
        <w:tab/>
      </w:r>
      <w:r>
        <w:rPr>
          <w:noProof/>
        </w:rPr>
        <w:fldChar w:fldCharType="begin"/>
      </w:r>
      <w:r>
        <w:rPr>
          <w:noProof/>
        </w:rPr>
        <w:instrText xml:space="preserve"> PAGEREF _Toc152146945 \h </w:instrText>
      </w:r>
      <w:r>
        <w:rPr>
          <w:noProof/>
        </w:rPr>
      </w:r>
      <w:r>
        <w:rPr>
          <w:noProof/>
        </w:rPr>
        <w:fldChar w:fldCharType="separate"/>
      </w:r>
      <w:r w:rsidR="007F66EC">
        <w:rPr>
          <w:noProof/>
        </w:rPr>
        <w:t>27</w:t>
      </w:r>
      <w:r>
        <w:rPr>
          <w:noProof/>
        </w:rPr>
        <w:fldChar w:fldCharType="end"/>
      </w:r>
    </w:p>
    <w:p w14:paraId="5A776111" w14:textId="7B48451E" w:rsidR="00DA0A24" w:rsidRDefault="00DA0A24">
      <w:pPr>
        <w:pStyle w:val="TOC2"/>
        <w:rPr>
          <w:rFonts w:eastAsiaTheme="minorEastAsia"/>
          <w:noProof/>
          <w:color w:val="auto"/>
          <w:kern w:val="2"/>
          <w:sz w:val="22"/>
          <w:lang w:eastAsia="en-AU"/>
          <w14:ligatures w14:val="standardContextual"/>
        </w:rPr>
      </w:pPr>
      <w:r>
        <w:rPr>
          <w:noProof/>
        </w:rPr>
        <w:t>5.5</w:t>
      </w:r>
      <w:r>
        <w:rPr>
          <w:rFonts w:eastAsiaTheme="minorEastAsia"/>
          <w:noProof/>
          <w:color w:val="auto"/>
          <w:kern w:val="2"/>
          <w:sz w:val="22"/>
          <w:lang w:eastAsia="en-AU"/>
          <w14:ligatures w14:val="standardContextual"/>
        </w:rPr>
        <w:tab/>
      </w:r>
      <w:r>
        <w:rPr>
          <w:noProof/>
        </w:rPr>
        <w:t>Response to Heritage Overlay 3</w:t>
      </w:r>
      <w:r>
        <w:rPr>
          <w:noProof/>
        </w:rPr>
        <w:tab/>
      </w:r>
      <w:r>
        <w:rPr>
          <w:noProof/>
        </w:rPr>
        <w:fldChar w:fldCharType="begin"/>
      </w:r>
      <w:r>
        <w:rPr>
          <w:noProof/>
        </w:rPr>
        <w:instrText xml:space="preserve"> PAGEREF _Toc152146946 \h </w:instrText>
      </w:r>
      <w:r>
        <w:rPr>
          <w:noProof/>
        </w:rPr>
      </w:r>
      <w:r>
        <w:rPr>
          <w:noProof/>
        </w:rPr>
        <w:fldChar w:fldCharType="separate"/>
      </w:r>
      <w:r w:rsidR="007F66EC">
        <w:rPr>
          <w:noProof/>
        </w:rPr>
        <w:t>27</w:t>
      </w:r>
      <w:r>
        <w:rPr>
          <w:noProof/>
        </w:rPr>
        <w:fldChar w:fldCharType="end"/>
      </w:r>
    </w:p>
    <w:p w14:paraId="30D3C269" w14:textId="2C5F36E6" w:rsidR="00DA0A24" w:rsidRDefault="00DA0A24">
      <w:pPr>
        <w:pStyle w:val="TOC2"/>
        <w:rPr>
          <w:rFonts w:eastAsiaTheme="minorEastAsia"/>
          <w:noProof/>
          <w:color w:val="auto"/>
          <w:kern w:val="2"/>
          <w:sz w:val="22"/>
          <w:lang w:eastAsia="en-AU"/>
          <w14:ligatures w14:val="standardContextual"/>
        </w:rPr>
      </w:pPr>
      <w:r>
        <w:rPr>
          <w:noProof/>
        </w:rPr>
        <w:t>5.6</w:t>
      </w:r>
      <w:r>
        <w:rPr>
          <w:rFonts w:eastAsiaTheme="minorEastAsia"/>
          <w:noProof/>
          <w:color w:val="auto"/>
          <w:kern w:val="2"/>
          <w:sz w:val="22"/>
          <w:lang w:eastAsia="en-AU"/>
          <w14:ligatures w14:val="standardContextual"/>
        </w:rPr>
        <w:tab/>
      </w:r>
      <w:r>
        <w:rPr>
          <w:noProof/>
        </w:rPr>
        <w:t xml:space="preserve">Response to the Zone Provisions </w:t>
      </w:r>
      <w:r>
        <w:rPr>
          <w:noProof/>
        </w:rPr>
        <w:tab/>
      </w:r>
      <w:r>
        <w:rPr>
          <w:noProof/>
        </w:rPr>
        <w:fldChar w:fldCharType="begin"/>
      </w:r>
      <w:r>
        <w:rPr>
          <w:noProof/>
        </w:rPr>
        <w:instrText xml:space="preserve"> PAGEREF _Toc152146947 \h </w:instrText>
      </w:r>
      <w:r>
        <w:rPr>
          <w:noProof/>
        </w:rPr>
      </w:r>
      <w:r>
        <w:rPr>
          <w:noProof/>
        </w:rPr>
        <w:fldChar w:fldCharType="separate"/>
      </w:r>
      <w:r w:rsidR="007F66EC">
        <w:rPr>
          <w:noProof/>
        </w:rPr>
        <w:t>28</w:t>
      </w:r>
      <w:r>
        <w:rPr>
          <w:noProof/>
        </w:rPr>
        <w:fldChar w:fldCharType="end"/>
      </w:r>
    </w:p>
    <w:p w14:paraId="46D60BF0" w14:textId="6AD83F8B"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6.0</w:t>
      </w:r>
      <w:r>
        <w:rPr>
          <w:rFonts w:asciiTheme="minorHAnsi" w:eastAsiaTheme="minorEastAsia" w:hAnsiTheme="minorHAnsi"/>
          <w:noProof/>
          <w:color w:val="auto"/>
          <w:kern w:val="2"/>
          <w:sz w:val="22"/>
          <w:lang w:eastAsia="en-AU"/>
          <w14:ligatures w14:val="standardContextual"/>
        </w:rPr>
        <w:tab/>
      </w:r>
      <w:r>
        <w:rPr>
          <w:noProof/>
        </w:rPr>
        <w:t>Urban Design Assessment</w:t>
      </w:r>
      <w:r>
        <w:rPr>
          <w:noProof/>
        </w:rPr>
        <w:tab/>
      </w:r>
      <w:r>
        <w:rPr>
          <w:noProof/>
        </w:rPr>
        <w:fldChar w:fldCharType="begin"/>
      </w:r>
      <w:r>
        <w:rPr>
          <w:noProof/>
        </w:rPr>
        <w:instrText xml:space="preserve"> PAGEREF _Toc152146948 \h </w:instrText>
      </w:r>
      <w:r>
        <w:rPr>
          <w:noProof/>
        </w:rPr>
      </w:r>
      <w:r>
        <w:rPr>
          <w:noProof/>
        </w:rPr>
        <w:fldChar w:fldCharType="separate"/>
      </w:r>
      <w:r w:rsidR="007F66EC">
        <w:rPr>
          <w:noProof/>
        </w:rPr>
        <w:t>29</w:t>
      </w:r>
      <w:r>
        <w:rPr>
          <w:noProof/>
        </w:rPr>
        <w:fldChar w:fldCharType="end"/>
      </w:r>
    </w:p>
    <w:p w14:paraId="1C94CF34" w14:textId="07A63ACF" w:rsidR="00DA0A24" w:rsidRDefault="00DA0A24">
      <w:pPr>
        <w:pStyle w:val="TOC2"/>
        <w:rPr>
          <w:rFonts w:eastAsiaTheme="minorEastAsia"/>
          <w:noProof/>
          <w:color w:val="auto"/>
          <w:kern w:val="2"/>
          <w:sz w:val="22"/>
          <w:lang w:eastAsia="en-AU"/>
          <w14:ligatures w14:val="standardContextual"/>
        </w:rPr>
      </w:pPr>
      <w:r>
        <w:rPr>
          <w:noProof/>
        </w:rPr>
        <w:t>6.1</w:t>
      </w:r>
      <w:r>
        <w:rPr>
          <w:rFonts w:eastAsiaTheme="minorEastAsia"/>
          <w:noProof/>
          <w:color w:val="auto"/>
          <w:kern w:val="2"/>
          <w:sz w:val="22"/>
          <w:lang w:eastAsia="en-AU"/>
          <w14:ligatures w14:val="standardContextual"/>
        </w:rPr>
        <w:tab/>
      </w:r>
      <w:r>
        <w:rPr>
          <w:noProof/>
        </w:rPr>
        <w:t>Building Height</w:t>
      </w:r>
      <w:r>
        <w:rPr>
          <w:noProof/>
        </w:rPr>
        <w:tab/>
      </w:r>
      <w:r>
        <w:rPr>
          <w:noProof/>
        </w:rPr>
        <w:fldChar w:fldCharType="begin"/>
      </w:r>
      <w:r>
        <w:rPr>
          <w:noProof/>
        </w:rPr>
        <w:instrText xml:space="preserve"> PAGEREF _Toc152146949 \h </w:instrText>
      </w:r>
      <w:r>
        <w:rPr>
          <w:noProof/>
        </w:rPr>
      </w:r>
      <w:r>
        <w:rPr>
          <w:noProof/>
        </w:rPr>
        <w:fldChar w:fldCharType="separate"/>
      </w:r>
      <w:r w:rsidR="007F66EC">
        <w:rPr>
          <w:noProof/>
        </w:rPr>
        <w:t>29</w:t>
      </w:r>
      <w:r>
        <w:rPr>
          <w:noProof/>
        </w:rPr>
        <w:fldChar w:fldCharType="end"/>
      </w:r>
    </w:p>
    <w:p w14:paraId="13DDCFA4" w14:textId="789CB5C8" w:rsidR="00DA0A24" w:rsidRDefault="00DA0A24">
      <w:pPr>
        <w:pStyle w:val="TOC2"/>
        <w:rPr>
          <w:rFonts w:eastAsiaTheme="minorEastAsia"/>
          <w:noProof/>
          <w:color w:val="auto"/>
          <w:kern w:val="2"/>
          <w:sz w:val="22"/>
          <w:lang w:eastAsia="en-AU"/>
          <w14:ligatures w14:val="standardContextual"/>
        </w:rPr>
      </w:pPr>
      <w:r>
        <w:rPr>
          <w:noProof/>
        </w:rPr>
        <w:t>6.2</w:t>
      </w:r>
      <w:r>
        <w:rPr>
          <w:rFonts w:eastAsiaTheme="minorEastAsia"/>
          <w:noProof/>
          <w:color w:val="auto"/>
          <w:kern w:val="2"/>
          <w:sz w:val="22"/>
          <w:lang w:eastAsia="en-AU"/>
          <w14:ligatures w14:val="standardContextual"/>
        </w:rPr>
        <w:tab/>
      </w:r>
      <w:r>
        <w:rPr>
          <w:noProof/>
        </w:rPr>
        <w:t>Built Form</w:t>
      </w:r>
      <w:r>
        <w:rPr>
          <w:noProof/>
        </w:rPr>
        <w:tab/>
      </w:r>
      <w:r>
        <w:rPr>
          <w:noProof/>
        </w:rPr>
        <w:fldChar w:fldCharType="begin"/>
      </w:r>
      <w:r>
        <w:rPr>
          <w:noProof/>
        </w:rPr>
        <w:instrText xml:space="preserve"> PAGEREF _Toc152146950 \h </w:instrText>
      </w:r>
      <w:r>
        <w:rPr>
          <w:noProof/>
        </w:rPr>
      </w:r>
      <w:r>
        <w:rPr>
          <w:noProof/>
        </w:rPr>
        <w:fldChar w:fldCharType="separate"/>
      </w:r>
      <w:r w:rsidR="007F66EC">
        <w:rPr>
          <w:noProof/>
        </w:rPr>
        <w:t>31</w:t>
      </w:r>
      <w:r>
        <w:rPr>
          <w:noProof/>
        </w:rPr>
        <w:fldChar w:fldCharType="end"/>
      </w:r>
    </w:p>
    <w:p w14:paraId="3F738093" w14:textId="4AAF59CF" w:rsidR="00DA0A24" w:rsidRDefault="00DA0A24">
      <w:pPr>
        <w:pStyle w:val="TOC2"/>
        <w:rPr>
          <w:rFonts w:eastAsiaTheme="minorEastAsia"/>
          <w:noProof/>
          <w:color w:val="auto"/>
          <w:kern w:val="2"/>
          <w:sz w:val="22"/>
          <w:lang w:eastAsia="en-AU"/>
          <w14:ligatures w14:val="standardContextual"/>
        </w:rPr>
      </w:pPr>
      <w:r>
        <w:rPr>
          <w:noProof/>
        </w:rPr>
        <w:t>6.3</w:t>
      </w:r>
      <w:r>
        <w:rPr>
          <w:rFonts w:eastAsiaTheme="minorEastAsia"/>
          <w:noProof/>
          <w:color w:val="auto"/>
          <w:kern w:val="2"/>
          <w:sz w:val="22"/>
          <w:lang w:eastAsia="en-AU"/>
          <w14:ligatures w14:val="standardContextual"/>
        </w:rPr>
        <w:tab/>
      </w:r>
      <w:r>
        <w:rPr>
          <w:noProof/>
        </w:rPr>
        <w:t>Assessment of Stepped Building Form</w:t>
      </w:r>
      <w:r>
        <w:rPr>
          <w:noProof/>
        </w:rPr>
        <w:tab/>
      </w:r>
      <w:r>
        <w:rPr>
          <w:noProof/>
        </w:rPr>
        <w:fldChar w:fldCharType="begin"/>
      </w:r>
      <w:r>
        <w:rPr>
          <w:noProof/>
        </w:rPr>
        <w:instrText xml:space="preserve"> PAGEREF _Toc152146951 \h </w:instrText>
      </w:r>
      <w:r>
        <w:rPr>
          <w:noProof/>
        </w:rPr>
      </w:r>
      <w:r>
        <w:rPr>
          <w:noProof/>
        </w:rPr>
        <w:fldChar w:fldCharType="separate"/>
      </w:r>
      <w:r w:rsidR="007F66EC">
        <w:rPr>
          <w:noProof/>
        </w:rPr>
        <w:t>33</w:t>
      </w:r>
      <w:r>
        <w:rPr>
          <w:noProof/>
        </w:rPr>
        <w:fldChar w:fldCharType="end"/>
      </w:r>
    </w:p>
    <w:p w14:paraId="4D185182" w14:textId="7C8E5465" w:rsidR="00DA0A24" w:rsidRDefault="00DA0A24">
      <w:pPr>
        <w:pStyle w:val="TOC2"/>
        <w:rPr>
          <w:rFonts w:eastAsiaTheme="minorEastAsia"/>
          <w:noProof/>
          <w:color w:val="auto"/>
          <w:kern w:val="2"/>
          <w:sz w:val="22"/>
          <w:lang w:eastAsia="en-AU"/>
          <w14:ligatures w14:val="standardContextual"/>
        </w:rPr>
      </w:pPr>
      <w:r>
        <w:rPr>
          <w:noProof/>
        </w:rPr>
        <w:t>6.4</w:t>
      </w:r>
      <w:r>
        <w:rPr>
          <w:rFonts w:eastAsiaTheme="minorEastAsia"/>
          <w:noProof/>
          <w:color w:val="auto"/>
          <w:kern w:val="2"/>
          <w:sz w:val="22"/>
          <w:lang w:eastAsia="en-AU"/>
          <w14:ligatures w14:val="standardContextual"/>
        </w:rPr>
        <w:tab/>
      </w:r>
      <w:r>
        <w:rPr>
          <w:noProof/>
        </w:rPr>
        <w:t>Overshadowing</w:t>
      </w:r>
      <w:r>
        <w:rPr>
          <w:noProof/>
        </w:rPr>
        <w:tab/>
      </w:r>
      <w:r>
        <w:rPr>
          <w:noProof/>
        </w:rPr>
        <w:fldChar w:fldCharType="begin"/>
      </w:r>
      <w:r>
        <w:rPr>
          <w:noProof/>
        </w:rPr>
        <w:instrText xml:space="preserve"> PAGEREF _Toc152146952 \h </w:instrText>
      </w:r>
      <w:r>
        <w:rPr>
          <w:noProof/>
        </w:rPr>
      </w:r>
      <w:r>
        <w:rPr>
          <w:noProof/>
        </w:rPr>
        <w:fldChar w:fldCharType="separate"/>
      </w:r>
      <w:r w:rsidR="007F66EC">
        <w:rPr>
          <w:noProof/>
        </w:rPr>
        <w:t>33</w:t>
      </w:r>
      <w:r>
        <w:rPr>
          <w:noProof/>
        </w:rPr>
        <w:fldChar w:fldCharType="end"/>
      </w:r>
    </w:p>
    <w:p w14:paraId="38FBB45B" w14:textId="2E934137" w:rsidR="00DA0A24" w:rsidRDefault="00DA0A24">
      <w:pPr>
        <w:pStyle w:val="TOC2"/>
        <w:rPr>
          <w:rFonts w:eastAsiaTheme="minorEastAsia"/>
          <w:noProof/>
          <w:color w:val="auto"/>
          <w:kern w:val="2"/>
          <w:sz w:val="22"/>
          <w:lang w:eastAsia="en-AU"/>
          <w14:ligatures w14:val="standardContextual"/>
        </w:rPr>
      </w:pPr>
      <w:r>
        <w:rPr>
          <w:noProof/>
        </w:rPr>
        <w:t>6.5</w:t>
      </w:r>
      <w:r>
        <w:rPr>
          <w:rFonts w:eastAsiaTheme="minorEastAsia"/>
          <w:noProof/>
          <w:color w:val="auto"/>
          <w:kern w:val="2"/>
          <w:sz w:val="22"/>
          <w:lang w:eastAsia="en-AU"/>
          <w14:ligatures w14:val="standardContextual"/>
        </w:rPr>
        <w:tab/>
      </w:r>
      <w:r>
        <w:rPr>
          <w:noProof/>
        </w:rPr>
        <w:t>Further Considerations</w:t>
      </w:r>
      <w:r>
        <w:rPr>
          <w:noProof/>
        </w:rPr>
        <w:tab/>
      </w:r>
      <w:r>
        <w:rPr>
          <w:noProof/>
        </w:rPr>
        <w:fldChar w:fldCharType="begin"/>
      </w:r>
      <w:r>
        <w:rPr>
          <w:noProof/>
        </w:rPr>
        <w:instrText xml:space="preserve"> PAGEREF _Toc152146953 \h </w:instrText>
      </w:r>
      <w:r>
        <w:rPr>
          <w:noProof/>
        </w:rPr>
      </w:r>
      <w:r>
        <w:rPr>
          <w:noProof/>
        </w:rPr>
        <w:fldChar w:fldCharType="separate"/>
      </w:r>
      <w:r w:rsidR="007F66EC">
        <w:rPr>
          <w:noProof/>
        </w:rPr>
        <w:t>34</w:t>
      </w:r>
      <w:r>
        <w:rPr>
          <w:noProof/>
        </w:rPr>
        <w:fldChar w:fldCharType="end"/>
      </w:r>
    </w:p>
    <w:p w14:paraId="2B42CF84" w14:textId="5ACF2E7A"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7.0</w:t>
      </w:r>
      <w:r>
        <w:rPr>
          <w:rFonts w:asciiTheme="minorHAnsi" w:eastAsiaTheme="minorEastAsia" w:hAnsiTheme="minorHAnsi"/>
          <w:noProof/>
          <w:color w:val="auto"/>
          <w:kern w:val="2"/>
          <w:sz w:val="22"/>
          <w:lang w:eastAsia="en-AU"/>
          <w14:ligatures w14:val="standardContextual"/>
        </w:rPr>
        <w:tab/>
      </w:r>
      <w:r>
        <w:rPr>
          <w:noProof/>
        </w:rPr>
        <w:t>Strategic Planning Considerations</w:t>
      </w:r>
      <w:r>
        <w:rPr>
          <w:noProof/>
        </w:rPr>
        <w:tab/>
      </w:r>
      <w:r>
        <w:rPr>
          <w:noProof/>
        </w:rPr>
        <w:fldChar w:fldCharType="begin"/>
      </w:r>
      <w:r>
        <w:rPr>
          <w:noProof/>
        </w:rPr>
        <w:instrText xml:space="preserve"> PAGEREF _Toc152146954 \h </w:instrText>
      </w:r>
      <w:r>
        <w:rPr>
          <w:noProof/>
        </w:rPr>
      </w:r>
      <w:r>
        <w:rPr>
          <w:noProof/>
        </w:rPr>
        <w:fldChar w:fldCharType="separate"/>
      </w:r>
      <w:r w:rsidR="007F66EC">
        <w:rPr>
          <w:noProof/>
        </w:rPr>
        <w:t>35</w:t>
      </w:r>
      <w:r>
        <w:rPr>
          <w:noProof/>
        </w:rPr>
        <w:fldChar w:fldCharType="end"/>
      </w:r>
    </w:p>
    <w:p w14:paraId="3D1FC73B" w14:textId="2A7692E4" w:rsidR="00DA0A24" w:rsidRDefault="00DA0A24">
      <w:pPr>
        <w:pStyle w:val="TOC2"/>
        <w:rPr>
          <w:rFonts w:eastAsiaTheme="minorEastAsia"/>
          <w:noProof/>
          <w:color w:val="auto"/>
          <w:kern w:val="2"/>
          <w:sz w:val="22"/>
          <w:lang w:eastAsia="en-AU"/>
          <w14:ligatures w14:val="standardContextual"/>
        </w:rPr>
      </w:pPr>
      <w:r>
        <w:rPr>
          <w:noProof/>
        </w:rPr>
        <w:t>7.1</w:t>
      </w:r>
      <w:r>
        <w:rPr>
          <w:rFonts w:eastAsiaTheme="minorEastAsia"/>
          <w:noProof/>
          <w:color w:val="auto"/>
          <w:kern w:val="2"/>
          <w:sz w:val="22"/>
          <w:lang w:eastAsia="en-AU"/>
          <w14:ligatures w14:val="standardContextual"/>
        </w:rPr>
        <w:tab/>
      </w:r>
      <w:r>
        <w:rPr>
          <w:noProof/>
        </w:rPr>
        <w:t>Why is an Amendment Required?</w:t>
      </w:r>
      <w:r>
        <w:rPr>
          <w:noProof/>
        </w:rPr>
        <w:tab/>
      </w:r>
      <w:r>
        <w:rPr>
          <w:noProof/>
        </w:rPr>
        <w:fldChar w:fldCharType="begin"/>
      </w:r>
      <w:r>
        <w:rPr>
          <w:noProof/>
        </w:rPr>
        <w:instrText xml:space="preserve"> PAGEREF _Toc152146955 \h </w:instrText>
      </w:r>
      <w:r>
        <w:rPr>
          <w:noProof/>
        </w:rPr>
      </w:r>
      <w:r>
        <w:rPr>
          <w:noProof/>
        </w:rPr>
        <w:fldChar w:fldCharType="separate"/>
      </w:r>
      <w:r w:rsidR="007F66EC">
        <w:rPr>
          <w:noProof/>
        </w:rPr>
        <w:t>35</w:t>
      </w:r>
      <w:r>
        <w:rPr>
          <w:noProof/>
        </w:rPr>
        <w:fldChar w:fldCharType="end"/>
      </w:r>
    </w:p>
    <w:p w14:paraId="072AF8D4" w14:textId="44B587CB" w:rsidR="00DA0A24" w:rsidRDefault="00DA0A24">
      <w:pPr>
        <w:pStyle w:val="TOC2"/>
        <w:rPr>
          <w:rFonts w:eastAsiaTheme="minorEastAsia"/>
          <w:noProof/>
          <w:color w:val="auto"/>
          <w:kern w:val="2"/>
          <w:sz w:val="22"/>
          <w:lang w:eastAsia="en-AU"/>
          <w14:ligatures w14:val="standardContextual"/>
        </w:rPr>
      </w:pPr>
      <w:r>
        <w:rPr>
          <w:noProof/>
        </w:rPr>
        <w:t>7.2</w:t>
      </w:r>
      <w:r>
        <w:rPr>
          <w:rFonts w:eastAsiaTheme="minorEastAsia"/>
          <w:noProof/>
          <w:color w:val="auto"/>
          <w:kern w:val="2"/>
          <w:sz w:val="22"/>
          <w:lang w:eastAsia="en-AU"/>
          <w14:ligatures w14:val="standardContextual"/>
        </w:rPr>
        <w:tab/>
      </w:r>
      <w:r>
        <w:rPr>
          <w:noProof/>
        </w:rPr>
        <w:t>Does the Amendment Implement the Objectives of Planning and Address Any Environmental, Social and Economic Effects?</w:t>
      </w:r>
      <w:r>
        <w:rPr>
          <w:noProof/>
        </w:rPr>
        <w:tab/>
      </w:r>
      <w:r>
        <w:rPr>
          <w:noProof/>
        </w:rPr>
        <w:fldChar w:fldCharType="begin"/>
      </w:r>
      <w:r>
        <w:rPr>
          <w:noProof/>
        </w:rPr>
        <w:instrText xml:space="preserve"> PAGEREF _Toc152146956 \h </w:instrText>
      </w:r>
      <w:r>
        <w:rPr>
          <w:noProof/>
        </w:rPr>
      </w:r>
      <w:r>
        <w:rPr>
          <w:noProof/>
        </w:rPr>
        <w:fldChar w:fldCharType="separate"/>
      </w:r>
      <w:r w:rsidR="007F66EC">
        <w:rPr>
          <w:noProof/>
        </w:rPr>
        <w:t>35</w:t>
      </w:r>
      <w:r>
        <w:rPr>
          <w:noProof/>
        </w:rPr>
        <w:fldChar w:fldCharType="end"/>
      </w:r>
    </w:p>
    <w:p w14:paraId="1698A10E" w14:textId="163A1CF1" w:rsidR="00DA0A24" w:rsidRDefault="00DA0A24">
      <w:pPr>
        <w:pStyle w:val="TOC2"/>
        <w:rPr>
          <w:rFonts w:eastAsiaTheme="minorEastAsia"/>
          <w:noProof/>
          <w:color w:val="auto"/>
          <w:kern w:val="2"/>
          <w:sz w:val="22"/>
          <w:lang w:eastAsia="en-AU"/>
          <w14:ligatures w14:val="standardContextual"/>
        </w:rPr>
      </w:pPr>
      <w:r>
        <w:rPr>
          <w:noProof/>
        </w:rPr>
        <w:t>7.3</w:t>
      </w:r>
      <w:r>
        <w:rPr>
          <w:rFonts w:eastAsiaTheme="minorEastAsia"/>
          <w:noProof/>
          <w:color w:val="auto"/>
          <w:kern w:val="2"/>
          <w:sz w:val="22"/>
          <w:lang w:eastAsia="en-AU"/>
          <w14:ligatures w14:val="standardContextual"/>
        </w:rPr>
        <w:tab/>
      </w:r>
      <w:r>
        <w:rPr>
          <w:noProof/>
        </w:rPr>
        <w:t>Does the Amendment Address Relevant Bushfire Risk?</w:t>
      </w:r>
      <w:r>
        <w:rPr>
          <w:noProof/>
        </w:rPr>
        <w:tab/>
      </w:r>
      <w:r>
        <w:rPr>
          <w:noProof/>
        </w:rPr>
        <w:fldChar w:fldCharType="begin"/>
      </w:r>
      <w:r>
        <w:rPr>
          <w:noProof/>
        </w:rPr>
        <w:instrText xml:space="preserve"> PAGEREF _Toc152146957 \h </w:instrText>
      </w:r>
      <w:r>
        <w:rPr>
          <w:noProof/>
        </w:rPr>
      </w:r>
      <w:r>
        <w:rPr>
          <w:noProof/>
        </w:rPr>
        <w:fldChar w:fldCharType="separate"/>
      </w:r>
      <w:r w:rsidR="007F66EC">
        <w:rPr>
          <w:noProof/>
        </w:rPr>
        <w:t>35</w:t>
      </w:r>
      <w:r>
        <w:rPr>
          <w:noProof/>
        </w:rPr>
        <w:fldChar w:fldCharType="end"/>
      </w:r>
    </w:p>
    <w:p w14:paraId="786746DC" w14:textId="7CBF3450" w:rsidR="00DA0A24" w:rsidRDefault="00DA0A24">
      <w:pPr>
        <w:pStyle w:val="TOC2"/>
        <w:rPr>
          <w:rFonts w:eastAsiaTheme="minorEastAsia"/>
          <w:noProof/>
          <w:color w:val="auto"/>
          <w:kern w:val="2"/>
          <w:sz w:val="22"/>
          <w:lang w:eastAsia="en-AU"/>
          <w14:ligatures w14:val="standardContextual"/>
        </w:rPr>
      </w:pPr>
      <w:r>
        <w:rPr>
          <w:noProof/>
        </w:rPr>
        <w:lastRenderedPageBreak/>
        <w:t>7.4</w:t>
      </w:r>
      <w:r>
        <w:rPr>
          <w:rFonts w:eastAsiaTheme="minorEastAsia"/>
          <w:noProof/>
          <w:color w:val="auto"/>
          <w:kern w:val="2"/>
          <w:sz w:val="22"/>
          <w:lang w:eastAsia="en-AU"/>
          <w14:ligatures w14:val="standardContextual"/>
        </w:rPr>
        <w:tab/>
      </w:r>
      <w:r>
        <w:rPr>
          <w:noProof/>
        </w:rPr>
        <w:t>Does the Amendment Comply with All Relevant Minister’s Directions?</w:t>
      </w:r>
      <w:r>
        <w:rPr>
          <w:noProof/>
        </w:rPr>
        <w:tab/>
      </w:r>
      <w:r>
        <w:rPr>
          <w:noProof/>
        </w:rPr>
        <w:fldChar w:fldCharType="begin"/>
      </w:r>
      <w:r>
        <w:rPr>
          <w:noProof/>
        </w:rPr>
        <w:instrText xml:space="preserve"> PAGEREF _Toc152146958 \h </w:instrText>
      </w:r>
      <w:r>
        <w:rPr>
          <w:noProof/>
        </w:rPr>
      </w:r>
      <w:r>
        <w:rPr>
          <w:noProof/>
        </w:rPr>
        <w:fldChar w:fldCharType="separate"/>
      </w:r>
      <w:r w:rsidR="007F66EC">
        <w:rPr>
          <w:noProof/>
        </w:rPr>
        <w:t>35</w:t>
      </w:r>
      <w:r>
        <w:rPr>
          <w:noProof/>
        </w:rPr>
        <w:fldChar w:fldCharType="end"/>
      </w:r>
    </w:p>
    <w:p w14:paraId="2D166FA4" w14:textId="0FEF22DF" w:rsidR="00DA0A24" w:rsidRDefault="00DA0A24">
      <w:pPr>
        <w:pStyle w:val="TOC2"/>
        <w:rPr>
          <w:rFonts w:eastAsiaTheme="minorEastAsia"/>
          <w:noProof/>
          <w:color w:val="auto"/>
          <w:kern w:val="2"/>
          <w:sz w:val="22"/>
          <w:lang w:eastAsia="en-AU"/>
          <w14:ligatures w14:val="standardContextual"/>
        </w:rPr>
      </w:pPr>
      <w:r>
        <w:rPr>
          <w:noProof/>
        </w:rPr>
        <w:t>7.5</w:t>
      </w:r>
      <w:r>
        <w:rPr>
          <w:rFonts w:eastAsiaTheme="minorEastAsia"/>
          <w:noProof/>
          <w:color w:val="auto"/>
          <w:kern w:val="2"/>
          <w:sz w:val="22"/>
          <w:lang w:eastAsia="en-AU"/>
          <w14:ligatures w14:val="standardContextual"/>
        </w:rPr>
        <w:tab/>
      </w:r>
      <w:r>
        <w:rPr>
          <w:noProof/>
        </w:rPr>
        <w:t>Support or Implement the Planning Policy Framework?</w:t>
      </w:r>
      <w:r>
        <w:rPr>
          <w:noProof/>
        </w:rPr>
        <w:tab/>
      </w:r>
      <w:r>
        <w:rPr>
          <w:noProof/>
        </w:rPr>
        <w:fldChar w:fldCharType="begin"/>
      </w:r>
      <w:r>
        <w:rPr>
          <w:noProof/>
        </w:rPr>
        <w:instrText xml:space="preserve"> PAGEREF _Toc152146959 \h </w:instrText>
      </w:r>
      <w:r>
        <w:rPr>
          <w:noProof/>
        </w:rPr>
      </w:r>
      <w:r>
        <w:rPr>
          <w:noProof/>
        </w:rPr>
        <w:fldChar w:fldCharType="separate"/>
      </w:r>
      <w:r w:rsidR="007F66EC">
        <w:rPr>
          <w:noProof/>
        </w:rPr>
        <w:t>35</w:t>
      </w:r>
      <w:r>
        <w:rPr>
          <w:noProof/>
        </w:rPr>
        <w:fldChar w:fldCharType="end"/>
      </w:r>
    </w:p>
    <w:p w14:paraId="50C5BB06" w14:textId="3F8C4C74" w:rsidR="00DA0A24" w:rsidRDefault="00DA0A24">
      <w:pPr>
        <w:pStyle w:val="TOC2"/>
        <w:rPr>
          <w:rFonts w:eastAsiaTheme="minorEastAsia"/>
          <w:noProof/>
          <w:color w:val="auto"/>
          <w:kern w:val="2"/>
          <w:sz w:val="22"/>
          <w:lang w:eastAsia="en-AU"/>
          <w14:ligatures w14:val="standardContextual"/>
        </w:rPr>
      </w:pPr>
      <w:r>
        <w:rPr>
          <w:noProof/>
        </w:rPr>
        <w:t>7.6</w:t>
      </w:r>
      <w:r>
        <w:rPr>
          <w:rFonts w:eastAsiaTheme="minorEastAsia"/>
          <w:noProof/>
          <w:color w:val="auto"/>
          <w:kern w:val="2"/>
          <w:sz w:val="22"/>
          <w:lang w:eastAsia="en-AU"/>
          <w14:ligatures w14:val="standardContextual"/>
        </w:rPr>
        <w:tab/>
      </w:r>
      <w:r>
        <w:rPr>
          <w:noProof/>
        </w:rPr>
        <w:t>How Does the Amendment Support or Implement the Local Planning Policy Framework and Specifically the Municipal Strategic Statement?</w:t>
      </w:r>
      <w:r>
        <w:rPr>
          <w:noProof/>
        </w:rPr>
        <w:tab/>
      </w:r>
      <w:r>
        <w:rPr>
          <w:noProof/>
        </w:rPr>
        <w:fldChar w:fldCharType="begin"/>
      </w:r>
      <w:r>
        <w:rPr>
          <w:noProof/>
        </w:rPr>
        <w:instrText xml:space="preserve"> PAGEREF _Toc152146960 \h </w:instrText>
      </w:r>
      <w:r>
        <w:rPr>
          <w:noProof/>
        </w:rPr>
      </w:r>
      <w:r>
        <w:rPr>
          <w:noProof/>
        </w:rPr>
        <w:fldChar w:fldCharType="separate"/>
      </w:r>
      <w:r w:rsidR="007F66EC">
        <w:rPr>
          <w:noProof/>
        </w:rPr>
        <w:t>36</w:t>
      </w:r>
      <w:r>
        <w:rPr>
          <w:noProof/>
        </w:rPr>
        <w:fldChar w:fldCharType="end"/>
      </w:r>
    </w:p>
    <w:p w14:paraId="4CA4A3DB" w14:textId="1FD7627C" w:rsidR="00DA0A24" w:rsidRDefault="00DA0A24">
      <w:pPr>
        <w:pStyle w:val="TOC2"/>
        <w:rPr>
          <w:rFonts w:eastAsiaTheme="minorEastAsia"/>
          <w:noProof/>
          <w:color w:val="auto"/>
          <w:kern w:val="2"/>
          <w:sz w:val="22"/>
          <w:lang w:eastAsia="en-AU"/>
          <w14:ligatures w14:val="standardContextual"/>
        </w:rPr>
      </w:pPr>
      <w:r>
        <w:rPr>
          <w:noProof/>
        </w:rPr>
        <w:t>7.7</w:t>
      </w:r>
      <w:r>
        <w:rPr>
          <w:rFonts w:eastAsiaTheme="minorEastAsia"/>
          <w:noProof/>
          <w:color w:val="auto"/>
          <w:kern w:val="2"/>
          <w:sz w:val="22"/>
          <w:lang w:eastAsia="en-AU"/>
          <w14:ligatures w14:val="standardContextual"/>
        </w:rPr>
        <w:tab/>
      </w:r>
      <w:r>
        <w:rPr>
          <w:noProof/>
        </w:rPr>
        <w:t>Does the Amendment Address the Requirements of the Transport Integration Act 2010?</w:t>
      </w:r>
      <w:r>
        <w:rPr>
          <w:noProof/>
        </w:rPr>
        <w:tab/>
      </w:r>
      <w:r>
        <w:rPr>
          <w:noProof/>
        </w:rPr>
        <w:fldChar w:fldCharType="begin"/>
      </w:r>
      <w:r>
        <w:rPr>
          <w:noProof/>
        </w:rPr>
        <w:instrText xml:space="preserve"> PAGEREF _Toc152146961 \h </w:instrText>
      </w:r>
      <w:r>
        <w:rPr>
          <w:noProof/>
        </w:rPr>
      </w:r>
      <w:r>
        <w:rPr>
          <w:noProof/>
        </w:rPr>
        <w:fldChar w:fldCharType="separate"/>
      </w:r>
      <w:r w:rsidR="007F66EC">
        <w:rPr>
          <w:noProof/>
        </w:rPr>
        <w:t>37</w:t>
      </w:r>
      <w:r>
        <w:rPr>
          <w:noProof/>
        </w:rPr>
        <w:fldChar w:fldCharType="end"/>
      </w:r>
    </w:p>
    <w:p w14:paraId="632ED7C2" w14:textId="409D670F" w:rsidR="00DA0A24" w:rsidRDefault="00DA0A24">
      <w:pPr>
        <w:pStyle w:val="TOC2"/>
        <w:rPr>
          <w:rFonts w:eastAsiaTheme="minorEastAsia"/>
          <w:noProof/>
          <w:color w:val="auto"/>
          <w:kern w:val="2"/>
          <w:sz w:val="22"/>
          <w:lang w:eastAsia="en-AU"/>
          <w14:ligatures w14:val="standardContextual"/>
        </w:rPr>
      </w:pPr>
      <w:r>
        <w:rPr>
          <w:noProof/>
        </w:rPr>
        <w:t>7.8</w:t>
      </w:r>
      <w:r>
        <w:rPr>
          <w:rFonts w:eastAsiaTheme="minorEastAsia"/>
          <w:noProof/>
          <w:color w:val="auto"/>
          <w:kern w:val="2"/>
          <w:sz w:val="22"/>
          <w:lang w:eastAsia="en-AU"/>
          <w14:ligatures w14:val="standardContextual"/>
        </w:rPr>
        <w:tab/>
      </w:r>
      <w:r>
        <w:rPr>
          <w:noProof/>
        </w:rPr>
        <w:t>What Impact Will the New Planning Provisions have on the Administrative Costs of the Responsible Authority?</w:t>
      </w:r>
      <w:r>
        <w:rPr>
          <w:noProof/>
        </w:rPr>
        <w:tab/>
      </w:r>
      <w:r>
        <w:rPr>
          <w:noProof/>
        </w:rPr>
        <w:fldChar w:fldCharType="begin"/>
      </w:r>
      <w:r>
        <w:rPr>
          <w:noProof/>
        </w:rPr>
        <w:instrText xml:space="preserve"> PAGEREF _Toc152146962 \h </w:instrText>
      </w:r>
      <w:r>
        <w:rPr>
          <w:noProof/>
        </w:rPr>
      </w:r>
      <w:r>
        <w:rPr>
          <w:noProof/>
        </w:rPr>
        <w:fldChar w:fldCharType="separate"/>
      </w:r>
      <w:r w:rsidR="007F66EC">
        <w:rPr>
          <w:noProof/>
        </w:rPr>
        <w:t>37</w:t>
      </w:r>
      <w:r>
        <w:rPr>
          <w:noProof/>
        </w:rPr>
        <w:fldChar w:fldCharType="end"/>
      </w:r>
    </w:p>
    <w:p w14:paraId="17180718" w14:textId="7938220A"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8.0</w:t>
      </w:r>
      <w:r>
        <w:rPr>
          <w:rFonts w:asciiTheme="minorHAnsi" w:eastAsiaTheme="minorEastAsia" w:hAnsiTheme="minorHAnsi"/>
          <w:noProof/>
          <w:color w:val="auto"/>
          <w:kern w:val="2"/>
          <w:sz w:val="22"/>
          <w:lang w:eastAsia="en-AU"/>
          <w14:ligatures w14:val="standardContextual"/>
        </w:rPr>
        <w:tab/>
      </w:r>
      <w:r>
        <w:rPr>
          <w:noProof/>
        </w:rPr>
        <w:t>Ministerial Directions</w:t>
      </w:r>
      <w:r>
        <w:rPr>
          <w:noProof/>
        </w:rPr>
        <w:tab/>
      </w:r>
      <w:r>
        <w:rPr>
          <w:noProof/>
        </w:rPr>
        <w:fldChar w:fldCharType="begin"/>
      </w:r>
      <w:r>
        <w:rPr>
          <w:noProof/>
        </w:rPr>
        <w:instrText xml:space="preserve"> PAGEREF _Toc152146963 \h </w:instrText>
      </w:r>
      <w:r>
        <w:rPr>
          <w:noProof/>
        </w:rPr>
      </w:r>
      <w:r>
        <w:rPr>
          <w:noProof/>
        </w:rPr>
        <w:fldChar w:fldCharType="separate"/>
      </w:r>
      <w:r w:rsidR="007F66EC">
        <w:rPr>
          <w:noProof/>
        </w:rPr>
        <w:t>37</w:t>
      </w:r>
      <w:r>
        <w:rPr>
          <w:noProof/>
        </w:rPr>
        <w:fldChar w:fldCharType="end"/>
      </w:r>
    </w:p>
    <w:p w14:paraId="0FD4E07D" w14:textId="1249BA90" w:rsidR="00DA0A24" w:rsidRDefault="00DA0A24">
      <w:pPr>
        <w:pStyle w:val="TOC2"/>
        <w:rPr>
          <w:rFonts w:eastAsiaTheme="minorEastAsia"/>
          <w:noProof/>
          <w:color w:val="auto"/>
          <w:kern w:val="2"/>
          <w:sz w:val="22"/>
          <w:lang w:eastAsia="en-AU"/>
          <w14:ligatures w14:val="standardContextual"/>
        </w:rPr>
      </w:pPr>
      <w:r>
        <w:rPr>
          <w:noProof/>
        </w:rPr>
        <w:t>8.1</w:t>
      </w:r>
      <w:r>
        <w:rPr>
          <w:rFonts w:eastAsiaTheme="minorEastAsia"/>
          <w:noProof/>
          <w:color w:val="auto"/>
          <w:kern w:val="2"/>
          <w:sz w:val="22"/>
          <w:lang w:eastAsia="en-AU"/>
          <w14:ligatures w14:val="standardContextual"/>
        </w:rPr>
        <w:tab/>
      </w:r>
      <w:r>
        <w:rPr>
          <w:noProof/>
        </w:rPr>
        <w:t>Ministerial Direction No. 1</w:t>
      </w:r>
      <w:r>
        <w:rPr>
          <w:noProof/>
        </w:rPr>
        <w:tab/>
      </w:r>
      <w:r>
        <w:rPr>
          <w:noProof/>
        </w:rPr>
        <w:fldChar w:fldCharType="begin"/>
      </w:r>
      <w:r>
        <w:rPr>
          <w:noProof/>
        </w:rPr>
        <w:instrText xml:space="preserve"> PAGEREF _Toc152146964 \h </w:instrText>
      </w:r>
      <w:r>
        <w:rPr>
          <w:noProof/>
        </w:rPr>
      </w:r>
      <w:r>
        <w:rPr>
          <w:noProof/>
        </w:rPr>
        <w:fldChar w:fldCharType="separate"/>
      </w:r>
      <w:r w:rsidR="007F66EC">
        <w:rPr>
          <w:noProof/>
        </w:rPr>
        <w:t>37</w:t>
      </w:r>
      <w:r>
        <w:rPr>
          <w:noProof/>
        </w:rPr>
        <w:fldChar w:fldCharType="end"/>
      </w:r>
    </w:p>
    <w:p w14:paraId="74B4DACC" w14:textId="1CBCF34D" w:rsidR="00DA0A24" w:rsidRDefault="00DA0A24">
      <w:pPr>
        <w:pStyle w:val="TOC2"/>
        <w:rPr>
          <w:rFonts w:eastAsiaTheme="minorEastAsia"/>
          <w:noProof/>
          <w:color w:val="auto"/>
          <w:kern w:val="2"/>
          <w:sz w:val="22"/>
          <w:lang w:eastAsia="en-AU"/>
          <w14:ligatures w14:val="standardContextual"/>
        </w:rPr>
      </w:pPr>
      <w:r>
        <w:rPr>
          <w:noProof/>
        </w:rPr>
        <w:t>8.2</w:t>
      </w:r>
      <w:r>
        <w:rPr>
          <w:rFonts w:eastAsiaTheme="minorEastAsia"/>
          <w:noProof/>
          <w:color w:val="auto"/>
          <w:kern w:val="2"/>
          <w:sz w:val="22"/>
          <w:lang w:eastAsia="en-AU"/>
          <w14:ligatures w14:val="standardContextual"/>
        </w:rPr>
        <w:tab/>
      </w:r>
      <w:r>
        <w:rPr>
          <w:noProof/>
        </w:rPr>
        <w:t>Response to Ministerial Direction No. 1</w:t>
      </w:r>
      <w:r>
        <w:rPr>
          <w:noProof/>
        </w:rPr>
        <w:tab/>
      </w:r>
      <w:r>
        <w:rPr>
          <w:noProof/>
        </w:rPr>
        <w:fldChar w:fldCharType="begin"/>
      </w:r>
      <w:r>
        <w:rPr>
          <w:noProof/>
        </w:rPr>
        <w:instrText xml:space="preserve"> PAGEREF _Toc152146965 \h </w:instrText>
      </w:r>
      <w:r>
        <w:rPr>
          <w:noProof/>
        </w:rPr>
      </w:r>
      <w:r>
        <w:rPr>
          <w:noProof/>
        </w:rPr>
        <w:fldChar w:fldCharType="separate"/>
      </w:r>
      <w:r w:rsidR="007F66EC">
        <w:rPr>
          <w:noProof/>
        </w:rPr>
        <w:t>37</w:t>
      </w:r>
      <w:r>
        <w:rPr>
          <w:noProof/>
        </w:rPr>
        <w:fldChar w:fldCharType="end"/>
      </w:r>
    </w:p>
    <w:p w14:paraId="593AB793" w14:textId="68C1C130" w:rsidR="00DA0A24" w:rsidRDefault="00DA0A24">
      <w:pPr>
        <w:pStyle w:val="TOC2"/>
        <w:rPr>
          <w:rFonts w:eastAsiaTheme="minorEastAsia"/>
          <w:noProof/>
          <w:color w:val="auto"/>
          <w:kern w:val="2"/>
          <w:sz w:val="22"/>
          <w:lang w:eastAsia="en-AU"/>
          <w14:ligatures w14:val="standardContextual"/>
        </w:rPr>
      </w:pPr>
      <w:r>
        <w:rPr>
          <w:noProof/>
        </w:rPr>
        <w:t>8.3</w:t>
      </w:r>
      <w:r>
        <w:rPr>
          <w:rFonts w:eastAsiaTheme="minorEastAsia"/>
          <w:noProof/>
          <w:color w:val="auto"/>
          <w:kern w:val="2"/>
          <w:sz w:val="22"/>
          <w:lang w:eastAsia="en-AU"/>
          <w14:ligatures w14:val="standardContextual"/>
        </w:rPr>
        <w:tab/>
      </w:r>
      <w:r>
        <w:rPr>
          <w:noProof/>
        </w:rPr>
        <w:t>Ministerial Direction No. 9</w:t>
      </w:r>
      <w:r>
        <w:rPr>
          <w:noProof/>
        </w:rPr>
        <w:tab/>
      </w:r>
      <w:r>
        <w:rPr>
          <w:noProof/>
        </w:rPr>
        <w:fldChar w:fldCharType="begin"/>
      </w:r>
      <w:r>
        <w:rPr>
          <w:noProof/>
        </w:rPr>
        <w:instrText xml:space="preserve"> PAGEREF _Toc152146966 \h </w:instrText>
      </w:r>
      <w:r>
        <w:rPr>
          <w:noProof/>
        </w:rPr>
      </w:r>
      <w:r>
        <w:rPr>
          <w:noProof/>
        </w:rPr>
        <w:fldChar w:fldCharType="separate"/>
      </w:r>
      <w:r w:rsidR="007F66EC">
        <w:rPr>
          <w:noProof/>
        </w:rPr>
        <w:t>37</w:t>
      </w:r>
      <w:r>
        <w:rPr>
          <w:noProof/>
        </w:rPr>
        <w:fldChar w:fldCharType="end"/>
      </w:r>
    </w:p>
    <w:p w14:paraId="3CA158CC" w14:textId="3A114A41" w:rsidR="00DA0A24" w:rsidRDefault="00DA0A24">
      <w:pPr>
        <w:pStyle w:val="TOC2"/>
        <w:rPr>
          <w:rFonts w:eastAsiaTheme="minorEastAsia"/>
          <w:noProof/>
          <w:color w:val="auto"/>
          <w:kern w:val="2"/>
          <w:sz w:val="22"/>
          <w:lang w:eastAsia="en-AU"/>
          <w14:ligatures w14:val="standardContextual"/>
        </w:rPr>
      </w:pPr>
      <w:r>
        <w:rPr>
          <w:noProof/>
        </w:rPr>
        <w:t>8.4</w:t>
      </w:r>
      <w:r>
        <w:rPr>
          <w:rFonts w:eastAsiaTheme="minorEastAsia"/>
          <w:noProof/>
          <w:color w:val="auto"/>
          <w:kern w:val="2"/>
          <w:sz w:val="22"/>
          <w:lang w:eastAsia="en-AU"/>
          <w14:ligatures w14:val="standardContextual"/>
        </w:rPr>
        <w:tab/>
      </w:r>
      <w:r>
        <w:rPr>
          <w:noProof/>
        </w:rPr>
        <w:t>Response to Ministerial Direction No. 9</w:t>
      </w:r>
      <w:r>
        <w:rPr>
          <w:noProof/>
        </w:rPr>
        <w:tab/>
      </w:r>
      <w:r>
        <w:rPr>
          <w:noProof/>
        </w:rPr>
        <w:fldChar w:fldCharType="begin"/>
      </w:r>
      <w:r>
        <w:rPr>
          <w:noProof/>
        </w:rPr>
        <w:instrText xml:space="preserve"> PAGEREF _Toc152146967 \h </w:instrText>
      </w:r>
      <w:r>
        <w:rPr>
          <w:noProof/>
        </w:rPr>
      </w:r>
      <w:r>
        <w:rPr>
          <w:noProof/>
        </w:rPr>
        <w:fldChar w:fldCharType="separate"/>
      </w:r>
      <w:r w:rsidR="007F66EC">
        <w:rPr>
          <w:noProof/>
        </w:rPr>
        <w:t>38</w:t>
      </w:r>
      <w:r>
        <w:rPr>
          <w:noProof/>
        </w:rPr>
        <w:fldChar w:fldCharType="end"/>
      </w:r>
    </w:p>
    <w:p w14:paraId="14D84E26" w14:textId="5ACD4D06" w:rsidR="00DA0A24" w:rsidRDefault="00DA0A24">
      <w:pPr>
        <w:pStyle w:val="TOC2"/>
        <w:rPr>
          <w:rFonts w:eastAsiaTheme="minorEastAsia"/>
          <w:noProof/>
          <w:color w:val="auto"/>
          <w:kern w:val="2"/>
          <w:sz w:val="22"/>
          <w:lang w:eastAsia="en-AU"/>
          <w14:ligatures w14:val="standardContextual"/>
        </w:rPr>
      </w:pPr>
      <w:r>
        <w:rPr>
          <w:noProof/>
        </w:rPr>
        <w:t>8.5</w:t>
      </w:r>
      <w:r>
        <w:rPr>
          <w:rFonts w:eastAsiaTheme="minorEastAsia"/>
          <w:noProof/>
          <w:color w:val="auto"/>
          <w:kern w:val="2"/>
          <w:sz w:val="22"/>
          <w:lang w:eastAsia="en-AU"/>
          <w14:ligatures w14:val="standardContextual"/>
        </w:rPr>
        <w:tab/>
      </w:r>
      <w:r>
        <w:rPr>
          <w:noProof/>
        </w:rPr>
        <w:t>Ministerial Direction No. 11</w:t>
      </w:r>
      <w:r>
        <w:rPr>
          <w:noProof/>
        </w:rPr>
        <w:tab/>
      </w:r>
      <w:r>
        <w:rPr>
          <w:noProof/>
        </w:rPr>
        <w:fldChar w:fldCharType="begin"/>
      </w:r>
      <w:r>
        <w:rPr>
          <w:noProof/>
        </w:rPr>
        <w:instrText xml:space="preserve"> PAGEREF _Toc152146968 \h </w:instrText>
      </w:r>
      <w:r>
        <w:rPr>
          <w:noProof/>
        </w:rPr>
      </w:r>
      <w:r>
        <w:rPr>
          <w:noProof/>
        </w:rPr>
        <w:fldChar w:fldCharType="separate"/>
      </w:r>
      <w:r w:rsidR="007F66EC">
        <w:rPr>
          <w:noProof/>
        </w:rPr>
        <w:t>38</w:t>
      </w:r>
      <w:r>
        <w:rPr>
          <w:noProof/>
        </w:rPr>
        <w:fldChar w:fldCharType="end"/>
      </w:r>
    </w:p>
    <w:p w14:paraId="493AB895" w14:textId="49F88217" w:rsidR="00DA0A24" w:rsidRDefault="00DA0A24">
      <w:pPr>
        <w:pStyle w:val="TOC2"/>
        <w:rPr>
          <w:rFonts w:eastAsiaTheme="minorEastAsia"/>
          <w:noProof/>
          <w:color w:val="auto"/>
          <w:kern w:val="2"/>
          <w:sz w:val="22"/>
          <w:lang w:eastAsia="en-AU"/>
          <w14:ligatures w14:val="standardContextual"/>
        </w:rPr>
      </w:pPr>
      <w:r>
        <w:rPr>
          <w:noProof/>
        </w:rPr>
        <w:t>8.6</w:t>
      </w:r>
      <w:r>
        <w:rPr>
          <w:rFonts w:eastAsiaTheme="minorEastAsia"/>
          <w:noProof/>
          <w:color w:val="auto"/>
          <w:kern w:val="2"/>
          <w:sz w:val="22"/>
          <w:lang w:eastAsia="en-AU"/>
          <w14:ligatures w14:val="standardContextual"/>
        </w:rPr>
        <w:tab/>
      </w:r>
      <w:r>
        <w:rPr>
          <w:noProof/>
        </w:rPr>
        <w:t>Response to Ministerial Direction No. 11</w:t>
      </w:r>
      <w:r>
        <w:rPr>
          <w:noProof/>
        </w:rPr>
        <w:tab/>
      </w:r>
      <w:r>
        <w:rPr>
          <w:noProof/>
        </w:rPr>
        <w:fldChar w:fldCharType="begin"/>
      </w:r>
      <w:r>
        <w:rPr>
          <w:noProof/>
        </w:rPr>
        <w:instrText xml:space="preserve"> PAGEREF _Toc152146969 \h </w:instrText>
      </w:r>
      <w:r>
        <w:rPr>
          <w:noProof/>
        </w:rPr>
      </w:r>
      <w:r>
        <w:rPr>
          <w:noProof/>
        </w:rPr>
        <w:fldChar w:fldCharType="separate"/>
      </w:r>
      <w:r w:rsidR="007F66EC">
        <w:rPr>
          <w:noProof/>
        </w:rPr>
        <w:t>38</w:t>
      </w:r>
      <w:r>
        <w:rPr>
          <w:noProof/>
        </w:rPr>
        <w:fldChar w:fldCharType="end"/>
      </w:r>
    </w:p>
    <w:p w14:paraId="6CC80F7B" w14:textId="674E6797" w:rsidR="00DA0A24" w:rsidRDefault="00DA0A24">
      <w:pPr>
        <w:pStyle w:val="TOC2"/>
        <w:rPr>
          <w:rFonts w:eastAsiaTheme="minorEastAsia"/>
          <w:noProof/>
          <w:color w:val="auto"/>
          <w:kern w:val="2"/>
          <w:sz w:val="22"/>
          <w:lang w:eastAsia="en-AU"/>
          <w14:ligatures w14:val="standardContextual"/>
        </w:rPr>
      </w:pPr>
      <w:r>
        <w:rPr>
          <w:noProof/>
        </w:rPr>
        <w:t>8.7</w:t>
      </w:r>
      <w:r>
        <w:rPr>
          <w:rFonts w:eastAsiaTheme="minorEastAsia"/>
          <w:noProof/>
          <w:color w:val="auto"/>
          <w:kern w:val="2"/>
          <w:sz w:val="22"/>
          <w:lang w:eastAsia="en-AU"/>
          <w14:ligatures w14:val="standardContextual"/>
        </w:rPr>
        <w:tab/>
      </w:r>
      <w:r>
        <w:rPr>
          <w:noProof/>
        </w:rPr>
        <w:t>Ministerial Direction No. 12</w:t>
      </w:r>
      <w:r>
        <w:rPr>
          <w:noProof/>
        </w:rPr>
        <w:tab/>
      </w:r>
      <w:r>
        <w:rPr>
          <w:noProof/>
        </w:rPr>
        <w:fldChar w:fldCharType="begin"/>
      </w:r>
      <w:r>
        <w:rPr>
          <w:noProof/>
        </w:rPr>
        <w:instrText xml:space="preserve"> PAGEREF _Toc152146970 \h </w:instrText>
      </w:r>
      <w:r>
        <w:rPr>
          <w:noProof/>
        </w:rPr>
      </w:r>
      <w:r>
        <w:rPr>
          <w:noProof/>
        </w:rPr>
        <w:fldChar w:fldCharType="separate"/>
      </w:r>
      <w:r w:rsidR="007F66EC">
        <w:rPr>
          <w:noProof/>
        </w:rPr>
        <w:t>38</w:t>
      </w:r>
      <w:r>
        <w:rPr>
          <w:noProof/>
        </w:rPr>
        <w:fldChar w:fldCharType="end"/>
      </w:r>
    </w:p>
    <w:p w14:paraId="5206DC57" w14:textId="15B1CD75" w:rsidR="00DA0A24" w:rsidRDefault="00DA0A24">
      <w:pPr>
        <w:pStyle w:val="TOC2"/>
        <w:rPr>
          <w:rFonts w:eastAsiaTheme="minorEastAsia"/>
          <w:noProof/>
          <w:color w:val="auto"/>
          <w:kern w:val="2"/>
          <w:sz w:val="22"/>
          <w:lang w:eastAsia="en-AU"/>
          <w14:ligatures w14:val="standardContextual"/>
        </w:rPr>
      </w:pPr>
      <w:r>
        <w:rPr>
          <w:noProof/>
        </w:rPr>
        <w:t>8.8</w:t>
      </w:r>
      <w:r>
        <w:rPr>
          <w:rFonts w:eastAsiaTheme="minorEastAsia"/>
          <w:noProof/>
          <w:color w:val="auto"/>
          <w:kern w:val="2"/>
          <w:sz w:val="22"/>
          <w:lang w:eastAsia="en-AU"/>
          <w14:ligatures w14:val="standardContextual"/>
        </w:rPr>
        <w:tab/>
      </w:r>
      <w:r>
        <w:rPr>
          <w:noProof/>
        </w:rPr>
        <w:t>Response to Ministerial Direction No. 12</w:t>
      </w:r>
      <w:r>
        <w:rPr>
          <w:noProof/>
        </w:rPr>
        <w:tab/>
      </w:r>
      <w:r>
        <w:rPr>
          <w:noProof/>
        </w:rPr>
        <w:fldChar w:fldCharType="begin"/>
      </w:r>
      <w:r>
        <w:rPr>
          <w:noProof/>
        </w:rPr>
        <w:instrText xml:space="preserve"> PAGEREF _Toc152146971 \h </w:instrText>
      </w:r>
      <w:r>
        <w:rPr>
          <w:noProof/>
        </w:rPr>
      </w:r>
      <w:r>
        <w:rPr>
          <w:noProof/>
        </w:rPr>
        <w:fldChar w:fldCharType="separate"/>
      </w:r>
      <w:r w:rsidR="007F66EC">
        <w:rPr>
          <w:noProof/>
        </w:rPr>
        <w:t>38</w:t>
      </w:r>
      <w:r>
        <w:rPr>
          <w:noProof/>
        </w:rPr>
        <w:fldChar w:fldCharType="end"/>
      </w:r>
    </w:p>
    <w:p w14:paraId="6C3FDCC8" w14:textId="30FCDD34" w:rsidR="00DA0A24" w:rsidRDefault="00DA0A24">
      <w:pPr>
        <w:pStyle w:val="TOC2"/>
        <w:rPr>
          <w:rFonts w:eastAsiaTheme="minorEastAsia"/>
          <w:noProof/>
          <w:color w:val="auto"/>
          <w:kern w:val="2"/>
          <w:sz w:val="22"/>
          <w:lang w:eastAsia="en-AU"/>
          <w14:ligatures w14:val="standardContextual"/>
        </w:rPr>
      </w:pPr>
      <w:r>
        <w:rPr>
          <w:noProof/>
        </w:rPr>
        <w:t>8.9</w:t>
      </w:r>
      <w:r>
        <w:rPr>
          <w:rFonts w:eastAsiaTheme="minorEastAsia"/>
          <w:noProof/>
          <w:color w:val="auto"/>
          <w:kern w:val="2"/>
          <w:sz w:val="22"/>
          <w:lang w:eastAsia="en-AU"/>
          <w14:ligatures w14:val="standardContextual"/>
        </w:rPr>
        <w:tab/>
      </w:r>
      <w:r>
        <w:rPr>
          <w:noProof/>
        </w:rPr>
        <w:t>Ministerial Direction No. 19</w:t>
      </w:r>
      <w:r>
        <w:rPr>
          <w:noProof/>
        </w:rPr>
        <w:tab/>
      </w:r>
      <w:r>
        <w:rPr>
          <w:noProof/>
        </w:rPr>
        <w:fldChar w:fldCharType="begin"/>
      </w:r>
      <w:r>
        <w:rPr>
          <w:noProof/>
        </w:rPr>
        <w:instrText xml:space="preserve"> PAGEREF _Toc152146972 \h </w:instrText>
      </w:r>
      <w:r>
        <w:rPr>
          <w:noProof/>
        </w:rPr>
      </w:r>
      <w:r>
        <w:rPr>
          <w:noProof/>
        </w:rPr>
        <w:fldChar w:fldCharType="separate"/>
      </w:r>
      <w:r w:rsidR="007F66EC">
        <w:rPr>
          <w:noProof/>
        </w:rPr>
        <w:t>38</w:t>
      </w:r>
      <w:r>
        <w:rPr>
          <w:noProof/>
        </w:rPr>
        <w:fldChar w:fldCharType="end"/>
      </w:r>
    </w:p>
    <w:p w14:paraId="6905C310" w14:textId="084BCC49" w:rsidR="00DA0A24" w:rsidRDefault="00DA0A24">
      <w:pPr>
        <w:pStyle w:val="TOC2"/>
        <w:rPr>
          <w:rFonts w:eastAsiaTheme="minorEastAsia"/>
          <w:noProof/>
          <w:color w:val="auto"/>
          <w:kern w:val="2"/>
          <w:sz w:val="22"/>
          <w:lang w:eastAsia="en-AU"/>
          <w14:ligatures w14:val="standardContextual"/>
        </w:rPr>
      </w:pPr>
      <w:r>
        <w:rPr>
          <w:noProof/>
        </w:rPr>
        <w:t>8.10</w:t>
      </w:r>
      <w:r>
        <w:rPr>
          <w:rFonts w:eastAsiaTheme="minorEastAsia"/>
          <w:noProof/>
          <w:color w:val="auto"/>
          <w:kern w:val="2"/>
          <w:sz w:val="22"/>
          <w:lang w:eastAsia="en-AU"/>
          <w14:ligatures w14:val="standardContextual"/>
        </w:rPr>
        <w:tab/>
      </w:r>
      <w:r>
        <w:rPr>
          <w:noProof/>
        </w:rPr>
        <w:t>Response to Ministerial Direction No. 19</w:t>
      </w:r>
      <w:r>
        <w:rPr>
          <w:noProof/>
        </w:rPr>
        <w:tab/>
      </w:r>
      <w:r>
        <w:rPr>
          <w:noProof/>
        </w:rPr>
        <w:fldChar w:fldCharType="begin"/>
      </w:r>
      <w:r>
        <w:rPr>
          <w:noProof/>
        </w:rPr>
        <w:instrText xml:space="preserve"> PAGEREF _Toc152146973 \h </w:instrText>
      </w:r>
      <w:r>
        <w:rPr>
          <w:noProof/>
        </w:rPr>
      </w:r>
      <w:r>
        <w:rPr>
          <w:noProof/>
        </w:rPr>
        <w:fldChar w:fldCharType="separate"/>
      </w:r>
      <w:r w:rsidR="007F66EC">
        <w:rPr>
          <w:noProof/>
        </w:rPr>
        <w:t>38</w:t>
      </w:r>
      <w:r>
        <w:rPr>
          <w:noProof/>
        </w:rPr>
        <w:fldChar w:fldCharType="end"/>
      </w:r>
    </w:p>
    <w:p w14:paraId="1D1937EC" w14:textId="21F7ECDD" w:rsidR="00DA0A24" w:rsidRDefault="00DA0A24">
      <w:pPr>
        <w:pStyle w:val="TOC1"/>
        <w:rPr>
          <w:rFonts w:asciiTheme="minorHAnsi" w:eastAsiaTheme="minorEastAsia" w:hAnsiTheme="minorHAnsi"/>
          <w:noProof/>
          <w:color w:val="auto"/>
          <w:kern w:val="2"/>
          <w:sz w:val="22"/>
          <w:lang w:eastAsia="en-AU"/>
          <w14:ligatures w14:val="standardContextual"/>
        </w:rPr>
      </w:pPr>
      <w:r>
        <w:rPr>
          <w:noProof/>
        </w:rPr>
        <w:t>9.0</w:t>
      </w:r>
      <w:r>
        <w:rPr>
          <w:rFonts w:asciiTheme="minorHAnsi" w:eastAsiaTheme="minorEastAsia" w:hAnsiTheme="minorHAnsi"/>
          <w:noProof/>
          <w:color w:val="auto"/>
          <w:kern w:val="2"/>
          <w:sz w:val="22"/>
          <w:lang w:eastAsia="en-AU"/>
          <w14:ligatures w14:val="standardContextual"/>
        </w:rPr>
        <w:tab/>
      </w:r>
      <w:r>
        <w:rPr>
          <w:noProof/>
        </w:rPr>
        <w:t>Conclusion</w:t>
      </w:r>
      <w:r>
        <w:rPr>
          <w:noProof/>
        </w:rPr>
        <w:tab/>
      </w:r>
      <w:r>
        <w:rPr>
          <w:noProof/>
        </w:rPr>
        <w:fldChar w:fldCharType="begin"/>
      </w:r>
      <w:r>
        <w:rPr>
          <w:noProof/>
        </w:rPr>
        <w:instrText xml:space="preserve"> PAGEREF _Toc152146974 \h </w:instrText>
      </w:r>
      <w:r>
        <w:rPr>
          <w:noProof/>
        </w:rPr>
      </w:r>
      <w:r>
        <w:rPr>
          <w:noProof/>
        </w:rPr>
        <w:fldChar w:fldCharType="separate"/>
      </w:r>
      <w:r w:rsidR="007F66EC">
        <w:rPr>
          <w:noProof/>
        </w:rPr>
        <w:t>39</w:t>
      </w:r>
      <w:r>
        <w:rPr>
          <w:noProof/>
        </w:rPr>
        <w:fldChar w:fldCharType="end"/>
      </w:r>
    </w:p>
    <w:p w14:paraId="0507A2E8" w14:textId="6B831CEB" w:rsidR="002661BB" w:rsidRDefault="002661BB" w:rsidP="002661BB">
      <w:r>
        <w:rPr>
          <w:rFonts w:asciiTheme="majorHAnsi" w:hAnsiTheme="majorHAnsi"/>
          <w:color w:val="0C008E" w:themeColor="text2"/>
          <w:sz w:val="24"/>
        </w:rPr>
        <w:fldChar w:fldCharType="end"/>
      </w:r>
    </w:p>
    <w:p w14:paraId="11015E33" w14:textId="77777777" w:rsidR="002661BB" w:rsidRDefault="002661BB" w:rsidP="002661BB"/>
    <w:p w14:paraId="7C877BAD" w14:textId="77777777" w:rsidR="002661BB" w:rsidRDefault="002661BB" w:rsidP="002661BB"/>
    <w:p w14:paraId="74A0A20B" w14:textId="77777777" w:rsidR="002661BB" w:rsidRDefault="002661BB" w:rsidP="002661BB"/>
    <w:p w14:paraId="5175661F" w14:textId="77777777" w:rsidR="002661BB" w:rsidRDefault="002661BB" w:rsidP="002661BB">
      <w:pPr>
        <w:spacing w:line="259" w:lineRule="auto"/>
        <w:contextualSpacing w:val="0"/>
      </w:pPr>
      <w:r>
        <w:br w:type="page"/>
      </w:r>
    </w:p>
    <w:p w14:paraId="1FDBA348" w14:textId="77777777" w:rsidR="002661BB" w:rsidRDefault="002661BB" w:rsidP="002661BB">
      <w:pPr>
        <w:pStyle w:val="TOCSubheading"/>
      </w:pPr>
      <w:r>
        <w:lastRenderedPageBreak/>
        <w:t>Appendices</w:t>
      </w:r>
    </w:p>
    <w:p w14:paraId="67A2C059" w14:textId="3B0EF64C" w:rsidR="00EB7FCF" w:rsidRDefault="00230351">
      <w:pPr>
        <w:pStyle w:val="TOC2"/>
        <w:rPr>
          <w:rFonts w:eastAsiaTheme="minorEastAsia"/>
          <w:noProof/>
          <w:color w:val="auto"/>
          <w:kern w:val="2"/>
          <w:sz w:val="22"/>
          <w:lang w:eastAsia="en-AU"/>
          <w14:ligatures w14:val="standardContextual"/>
        </w:rPr>
      </w:pPr>
      <w:r>
        <w:fldChar w:fldCharType="begin"/>
      </w:r>
      <w:r>
        <w:instrText xml:space="preserve"> TOC \h \z \t "Appendix Heading 1 ,2,Appendix Heading 2,2" </w:instrText>
      </w:r>
      <w:r>
        <w:fldChar w:fldCharType="separate"/>
      </w:r>
      <w:hyperlink w:anchor="_Toc152142092" w:history="1">
        <w:r w:rsidR="00EB7FCF" w:rsidRPr="00E13C11">
          <w:rPr>
            <w:rStyle w:val="Hyperlink"/>
            <w:noProof/>
          </w:rPr>
          <w:t>Appendix A Illustrative Built Form Outcomes</w:t>
        </w:r>
        <w:r w:rsidR="00EB7FCF">
          <w:rPr>
            <w:noProof/>
            <w:webHidden/>
          </w:rPr>
          <w:tab/>
        </w:r>
        <w:r w:rsidR="00EB7FCF">
          <w:rPr>
            <w:noProof/>
            <w:webHidden/>
          </w:rPr>
          <w:fldChar w:fldCharType="begin"/>
        </w:r>
        <w:r w:rsidR="00EB7FCF">
          <w:rPr>
            <w:noProof/>
            <w:webHidden/>
          </w:rPr>
          <w:instrText xml:space="preserve"> PAGEREF _Toc152142092 \h </w:instrText>
        </w:r>
        <w:r w:rsidR="00EB7FCF">
          <w:rPr>
            <w:noProof/>
            <w:webHidden/>
          </w:rPr>
        </w:r>
        <w:r w:rsidR="00EB7FCF">
          <w:rPr>
            <w:noProof/>
            <w:webHidden/>
          </w:rPr>
          <w:fldChar w:fldCharType="separate"/>
        </w:r>
        <w:r w:rsidR="007F66EC">
          <w:rPr>
            <w:noProof/>
            <w:webHidden/>
          </w:rPr>
          <w:t>40</w:t>
        </w:r>
        <w:r w:rsidR="00EB7FCF">
          <w:rPr>
            <w:noProof/>
            <w:webHidden/>
          </w:rPr>
          <w:fldChar w:fldCharType="end"/>
        </w:r>
      </w:hyperlink>
    </w:p>
    <w:p w14:paraId="69BA0E4A" w14:textId="7CB6F1AF" w:rsidR="00EB7FCF" w:rsidRDefault="006D150E">
      <w:pPr>
        <w:pStyle w:val="TOC2"/>
        <w:rPr>
          <w:rFonts w:eastAsiaTheme="minorEastAsia"/>
          <w:noProof/>
          <w:color w:val="auto"/>
          <w:kern w:val="2"/>
          <w:sz w:val="22"/>
          <w:lang w:eastAsia="en-AU"/>
          <w14:ligatures w14:val="standardContextual"/>
        </w:rPr>
      </w:pPr>
      <w:hyperlink w:anchor="_Toc152142093" w:history="1">
        <w:r w:rsidR="00EB7FCF" w:rsidRPr="00E13C11">
          <w:rPr>
            <w:rStyle w:val="Hyperlink"/>
            <w:noProof/>
          </w:rPr>
          <w:t>Appendix B Draft Design and Development Overlay (DDO) Schedule 84</w:t>
        </w:r>
        <w:r w:rsidR="00EB7FCF">
          <w:rPr>
            <w:noProof/>
            <w:webHidden/>
          </w:rPr>
          <w:tab/>
        </w:r>
        <w:r w:rsidR="00EB7FCF">
          <w:rPr>
            <w:noProof/>
            <w:webHidden/>
          </w:rPr>
          <w:fldChar w:fldCharType="begin"/>
        </w:r>
        <w:r w:rsidR="00EB7FCF">
          <w:rPr>
            <w:noProof/>
            <w:webHidden/>
          </w:rPr>
          <w:instrText xml:space="preserve"> PAGEREF _Toc152142093 \h </w:instrText>
        </w:r>
        <w:r w:rsidR="00EB7FCF">
          <w:rPr>
            <w:noProof/>
            <w:webHidden/>
          </w:rPr>
        </w:r>
        <w:r w:rsidR="00EB7FCF">
          <w:rPr>
            <w:noProof/>
            <w:webHidden/>
          </w:rPr>
          <w:fldChar w:fldCharType="separate"/>
        </w:r>
        <w:r w:rsidR="007F66EC">
          <w:rPr>
            <w:noProof/>
            <w:webHidden/>
          </w:rPr>
          <w:t>41</w:t>
        </w:r>
        <w:r w:rsidR="00EB7FCF">
          <w:rPr>
            <w:noProof/>
            <w:webHidden/>
          </w:rPr>
          <w:fldChar w:fldCharType="end"/>
        </w:r>
      </w:hyperlink>
    </w:p>
    <w:p w14:paraId="21C325AB" w14:textId="126E34B4" w:rsidR="00EB7FCF" w:rsidRDefault="006D150E">
      <w:pPr>
        <w:pStyle w:val="TOC2"/>
        <w:rPr>
          <w:rFonts w:eastAsiaTheme="minorEastAsia"/>
          <w:noProof/>
          <w:color w:val="auto"/>
          <w:kern w:val="2"/>
          <w:sz w:val="22"/>
          <w:lang w:eastAsia="en-AU"/>
          <w14:ligatures w14:val="standardContextual"/>
        </w:rPr>
      </w:pPr>
      <w:hyperlink w:anchor="_Toc152142094" w:history="1">
        <w:r w:rsidR="00EB7FCF" w:rsidRPr="00E13C11">
          <w:rPr>
            <w:rStyle w:val="Hyperlink"/>
            <w:noProof/>
          </w:rPr>
          <w:t>Appendix C 200 Arden Street – Built Form Testing Map</w:t>
        </w:r>
        <w:r w:rsidR="00EB7FCF">
          <w:rPr>
            <w:noProof/>
            <w:webHidden/>
          </w:rPr>
          <w:tab/>
        </w:r>
        <w:r w:rsidR="00EB7FCF">
          <w:rPr>
            <w:noProof/>
            <w:webHidden/>
          </w:rPr>
          <w:fldChar w:fldCharType="begin"/>
        </w:r>
        <w:r w:rsidR="00EB7FCF">
          <w:rPr>
            <w:noProof/>
            <w:webHidden/>
          </w:rPr>
          <w:instrText xml:space="preserve"> PAGEREF _Toc152142094 \h </w:instrText>
        </w:r>
        <w:r w:rsidR="00EB7FCF">
          <w:rPr>
            <w:noProof/>
            <w:webHidden/>
          </w:rPr>
        </w:r>
        <w:r w:rsidR="00EB7FCF">
          <w:rPr>
            <w:noProof/>
            <w:webHidden/>
          </w:rPr>
          <w:fldChar w:fldCharType="separate"/>
        </w:r>
        <w:r w:rsidR="007F66EC">
          <w:rPr>
            <w:noProof/>
            <w:webHidden/>
          </w:rPr>
          <w:t>42</w:t>
        </w:r>
        <w:r w:rsidR="00EB7FCF">
          <w:rPr>
            <w:noProof/>
            <w:webHidden/>
          </w:rPr>
          <w:fldChar w:fldCharType="end"/>
        </w:r>
      </w:hyperlink>
    </w:p>
    <w:p w14:paraId="5688E377" w14:textId="7CCE0908" w:rsidR="00EB7FCF" w:rsidRDefault="006D150E">
      <w:pPr>
        <w:pStyle w:val="TOC2"/>
        <w:rPr>
          <w:rFonts w:eastAsiaTheme="minorEastAsia"/>
          <w:noProof/>
          <w:color w:val="auto"/>
          <w:kern w:val="2"/>
          <w:sz w:val="22"/>
          <w:lang w:eastAsia="en-AU"/>
          <w14:ligatures w14:val="standardContextual"/>
        </w:rPr>
      </w:pPr>
      <w:hyperlink w:anchor="_Toc152142095" w:history="1">
        <w:r w:rsidR="00EB7FCF" w:rsidRPr="00E13C11">
          <w:rPr>
            <w:rStyle w:val="Hyperlink"/>
            <w:noProof/>
          </w:rPr>
          <w:t>Appendix D Letter of Support prepared by Trethowan Architecture</w:t>
        </w:r>
        <w:r w:rsidR="00EB7FCF">
          <w:rPr>
            <w:noProof/>
            <w:webHidden/>
          </w:rPr>
          <w:tab/>
        </w:r>
        <w:r w:rsidR="00EB7FCF">
          <w:rPr>
            <w:noProof/>
            <w:webHidden/>
          </w:rPr>
          <w:fldChar w:fldCharType="begin"/>
        </w:r>
        <w:r w:rsidR="00EB7FCF">
          <w:rPr>
            <w:noProof/>
            <w:webHidden/>
          </w:rPr>
          <w:instrText xml:space="preserve"> PAGEREF _Toc152142095 \h </w:instrText>
        </w:r>
        <w:r w:rsidR="00EB7FCF">
          <w:rPr>
            <w:noProof/>
            <w:webHidden/>
          </w:rPr>
        </w:r>
        <w:r w:rsidR="00EB7FCF">
          <w:rPr>
            <w:noProof/>
            <w:webHidden/>
          </w:rPr>
          <w:fldChar w:fldCharType="separate"/>
        </w:r>
        <w:r w:rsidR="007F66EC">
          <w:rPr>
            <w:noProof/>
            <w:webHidden/>
          </w:rPr>
          <w:t>43</w:t>
        </w:r>
        <w:r w:rsidR="00EB7FCF">
          <w:rPr>
            <w:noProof/>
            <w:webHidden/>
          </w:rPr>
          <w:fldChar w:fldCharType="end"/>
        </w:r>
      </w:hyperlink>
    </w:p>
    <w:p w14:paraId="5C8B3DF8" w14:textId="5D9CEBAD" w:rsidR="00EB7FCF" w:rsidRDefault="006D150E">
      <w:pPr>
        <w:pStyle w:val="TOC2"/>
        <w:rPr>
          <w:rFonts w:eastAsiaTheme="minorEastAsia"/>
          <w:noProof/>
          <w:color w:val="auto"/>
          <w:kern w:val="2"/>
          <w:sz w:val="22"/>
          <w:lang w:eastAsia="en-AU"/>
          <w14:ligatures w14:val="standardContextual"/>
        </w:rPr>
      </w:pPr>
      <w:hyperlink w:anchor="_Toc152142096" w:history="1">
        <w:r w:rsidR="00EB7FCF" w:rsidRPr="00E13C11">
          <w:rPr>
            <w:rStyle w:val="Hyperlink"/>
            <w:noProof/>
          </w:rPr>
          <w:t>Appendix E DDO84 Site Map</w:t>
        </w:r>
        <w:r w:rsidR="00EB7FCF">
          <w:rPr>
            <w:noProof/>
            <w:webHidden/>
          </w:rPr>
          <w:tab/>
        </w:r>
        <w:r w:rsidR="00EB7FCF">
          <w:rPr>
            <w:noProof/>
            <w:webHidden/>
          </w:rPr>
          <w:fldChar w:fldCharType="begin"/>
        </w:r>
        <w:r w:rsidR="00EB7FCF">
          <w:rPr>
            <w:noProof/>
            <w:webHidden/>
          </w:rPr>
          <w:instrText xml:space="preserve"> PAGEREF _Toc152142096 \h </w:instrText>
        </w:r>
        <w:r w:rsidR="00EB7FCF">
          <w:rPr>
            <w:noProof/>
            <w:webHidden/>
          </w:rPr>
        </w:r>
        <w:r w:rsidR="00EB7FCF">
          <w:rPr>
            <w:noProof/>
            <w:webHidden/>
          </w:rPr>
          <w:fldChar w:fldCharType="separate"/>
        </w:r>
        <w:r w:rsidR="007F66EC">
          <w:rPr>
            <w:noProof/>
            <w:webHidden/>
          </w:rPr>
          <w:t>44</w:t>
        </w:r>
        <w:r w:rsidR="00EB7FCF">
          <w:rPr>
            <w:noProof/>
            <w:webHidden/>
          </w:rPr>
          <w:fldChar w:fldCharType="end"/>
        </w:r>
      </w:hyperlink>
    </w:p>
    <w:p w14:paraId="01691D82" w14:textId="64D548F4" w:rsidR="002661BB" w:rsidRPr="009C4D88" w:rsidRDefault="00230351" w:rsidP="002661BB">
      <w:r>
        <w:rPr>
          <w:b/>
          <w:bCs/>
          <w:noProof/>
          <w:lang w:val="en-US"/>
        </w:rPr>
        <w:fldChar w:fldCharType="end"/>
      </w:r>
    </w:p>
    <w:p w14:paraId="389DB7C7" w14:textId="77777777" w:rsidR="002661BB" w:rsidRDefault="002661BB" w:rsidP="002661BB">
      <w:pPr>
        <w:pStyle w:val="TOCSubheading"/>
      </w:pPr>
      <w:r>
        <w:t xml:space="preserve">Table of </w:t>
      </w:r>
      <w:r w:rsidRPr="00BD6AA1">
        <w:t>Figures</w:t>
      </w:r>
    </w:p>
    <w:p w14:paraId="5D678FF6" w14:textId="6B8D9D7E" w:rsidR="00E149AA" w:rsidRDefault="00230351">
      <w:pPr>
        <w:pStyle w:val="TableofFigures"/>
        <w:rPr>
          <w:rFonts w:eastAsiaTheme="minorEastAsia"/>
          <w:kern w:val="2"/>
          <w:sz w:val="22"/>
          <w:lang w:eastAsia="en-AU"/>
          <w14:ligatures w14:val="standardContextual"/>
        </w:rPr>
      </w:pPr>
      <w:r>
        <w:rPr>
          <w:noProof w:val="0"/>
        </w:rPr>
        <w:fldChar w:fldCharType="begin"/>
      </w:r>
      <w:r>
        <w:instrText xml:space="preserve"> TOC \h \z \c "Figure" </w:instrText>
      </w:r>
      <w:r>
        <w:rPr>
          <w:noProof w:val="0"/>
        </w:rPr>
        <w:fldChar w:fldCharType="separate"/>
      </w:r>
      <w:hyperlink w:anchor="_Toc149851761" w:history="1">
        <w:r w:rsidR="00E149AA" w:rsidRPr="00B4725B">
          <w:rPr>
            <w:rStyle w:val="Hyperlink"/>
          </w:rPr>
          <w:t>Figure 1</w:t>
        </w:r>
        <w:r w:rsidR="00E149AA">
          <w:rPr>
            <w:rFonts w:eastAsiaTheme="minorEastAsia"/>
            <w:kern w:val="2"/>
            <w:sz w:val="22"/>
            <w:lang w:eastAsia="en-AU"/>
            <w14:ligatures w14:val="standardContextual"/>
          </w:rPr>
          <w:tab/>
        </w:r>
        <w:r w:rsidR="00E149AA" w:rsidRPr="00B4725B">
          <w:rPr>
            <w:rStyle w:val="Hyperlink"/>
          </w:rPr>
          <w:t>Context Map</w:t>
        </w:r>
        <w:r w:rsidR="00E149AA">
          <w:rPr>
            <w:webHidden/>
          </w:rPr>
          <w:tab/>
        </w:r>
        <w:r w:rsidR="00E149AA">
          <w:rPr>
            <w:webHidden/>
          </w:rPr>
          <w:fldChar w:fldCharType="begin"/>
        </w:r>
        <w:r w:rsidR="00E149AA">
          <w:rPr>
            <w:webHidden/>
          </w:rPr>
          <w:instrText xml:space="preserve"> PAGEREF _Toc149851761 \h </w:instrText>
        </w:r>
        <w:r w:rsidR="00E149AA">
          <w:rPr>
            <w:webHidden/>
          </w:rPr>
        </w:r>
        <w:r w:rsidR="00E149AA">
          <w:rPr>
            <w:webHidden/>
          </w:rPr>
          <w:fldChar w:fldCharType="separate"/>
        </w:r>
        <w:r w:rsidR="007F66EC">
          <w:rPr>
            <w:webHidden/>
          </w:rPr>
          <w:t>11</w:t>
        </w:r>
        <w:r w:rsidR="00E149AA">
          <w:rPr>
            <w:webHidden/>
          </w:rPr>
          <w:fldChar w:fldCharType="end"/>
        </w:r>
      </w:hyperlink>
    </w:p>
    <w:p w14:paraId="690ABD03" w14:textId="4E6F623B" w:rsidR="00E149AA" w:rsidRDefault="006D150E">
      <w:pPr>
        <w:pStyle w:val="TableofFigures"/>
        <w:rPr>
          <w:rFonts w:eastAsiaTheme="minorEastAsia"/>
          <w:kern w:val="2"/>
          <w:sz w:val="22"/>
          <w:lang w:eastAsia="en-AU"/>
          <w14:ligatures w14:val="standardContextual"/>
        </w:rPr>
      </w:pPr>
      <w:hyperlink w:anchor="_Toc149851762" w:history="1">
        <w:r w:rsidR="00E149AA" w:rsidRPr="00B4725B">
          <w:rPr>
            <w:rStyle w:val="Hyperlink"/>
          </w:rPr>
          <w:t xml:space="preserve">Figure 2 </w:t>
        </w:r>
        <w:r w:rsidR="00E149AA">
          <w:rPr>
            <w:rFonts w:eastAsiaTheme="minorEastAsia"/>
            <w:kern w:val="2"/>
            <w:sz w:val="22"/>
            <w:lang w:eastAsia="en-AU"/>
            <w14:ligatures w14:val="standardContextual"/>
          </w:rPr>
          <w:tab/>
        </w:r>
        <w:r w:rsidR="00E149AA" w:rsidRPr="00B4725B">
          <w:rPr>
            <w:rStyle w:val="Hyperlink"/>
          </w:rPr>
          <w:t>Building Height Context</w:t>
        </w:r>
        <w:r w:rsidR="00E149AA">
          <w:rPr>
            <w:webHidden/>
          </w:rPr>
          <w:tab/>
        </w:r>
        <w:r w:rsidR="00E149AA">
          <w:rPr>
            <w:webHidden/>
          </w:rPr>
          <w:fldChar w:fldCharType="begin"/>
        </w:r>
        <w:r w:rsidR="00E149AA">
          <w:rPr>
            <w:webHidden/>
          </w:rPr>
          <w:instrText xml:space="preserve"> PAGEREF _Toc149851762 \h </w:instrText>
        </w:r>
        <w:r w:rsidR="00E149AA">
          <w:rPr>
            <w:webHidden/>
          </w:rPr>
        </w:r>
        <w:r w:rsidR="00E149AA">
          <w:rPr>
            <w:webHidden/>
          </w:rPr>
          <w:fldChar w:fldCharType="separate"/>
        </w:r>
        <w:r w:rsidR="007F66EC">
          <w:rPr>
            <w:webHidden/>
          </w:rPr>
          <w:t>12</w:t>
        </w:r>
        <w:r w:rsidR="00E149AA">
          <w:rPr>
            <w:webHidden/>
          </w:rPr>
          <w:fldChar w:fldCharType="end"/>
        </w:r>
      </w:hyperlink>
    </w:p>
    <w:p w14:paraId="5C020477" w14:textId="1AB31B18" w:rsidR="00E149AA" w:rsidRDefault="006D150E">
      <w:pPr>
        <w:pStyle w:val="TableofFigures"/>
        <w:rPr>
          <w:rFonts w:eastAsiaTheme="minorEastAsia"/>
          <w:kern w:val="2"/>
          <w:sz w:val="22"/>
          <w:lang w:eastAsia="en-AU"/>
          <w14:ligatures w14:val="standardContextual"/>
        </w:rPr>
      </w:pPr>
      <w:hyperlink w:anchor="_Toc149851763" w:history="1">
        <w:r w:rsidR="00E149AA" w:rsidRPr="00B4725B">
          <w:rPr>
            <w:rStyle w:val="Hyperlink"/>
          </w:rPr>
          <w:t>Figure 3</w:t>
        </w:r>
        <w:r w:rsidR="00E149AA">
          <w:rPr>
            <w:rFonts w:eastAsiaTheme="minorEastAsia"/>
            <w:kern w:val="2"/>
            <w:sz w:val="22"/>
            <w:lang w:eastAsia="en-AU"/>
            <w14:ligatures w14:val="standardContextual"/>
          </w:rPr>
          <w:tab/>
        </w:r>
        <w:r w:rsidR="00E149AA" w:rsidRPr="00B4725B">
          <w:rPr>
            <w:rStyle w:val="Hyperlink"/>
          </w:rPr>
          <w:t>Locational Context Map</w:t>
        </w:r>
        <w:r w:rsidR="00E149AA">
          <w:rPr>
            <w:webHidden/>
          </w:rPr>
          <w:tab/>
        </w:r>
        <w:r w:rsidR="00E149AA">
          <w:rPr>
            <w:webHidden/>
          </w:rPr>
          <w:fldChar w:fldCharType="begin"/>
        </w:r>
        <w:r w:rsidR="00E149AA">
          <w:rPr>
            <w:webHidden/>
          </w:rPr>
          <w:instrText xml:space="preserve"> PAGEREF _Toc149851763 \h </w:instrText>
        </w:r>
        <w:r w:rsidR="00E149AA">
          <w:rPr>
            <w:webHidden/>
          </w:rPr>
        </w:r>
        <w:r w:rsidR="00E149AA">
          <w:rPr>
            <w:webHidden/>
          </w:rPr>
          <w:fldChar w:fldCharType="separate"/>
        </w:r>
        <w:r w:rsidR="007F66EC">
          <w:rPr>
            <w:webHidden/>
          </w:rPr>
          <w:t>13</w:t>
        </w:r>
        <w:r w:rsidR="00E149AA">
          <w:rPr>
            <w:webHidden/>
          </w:rPr>
          <w:fldChar w:fldCharType="end"/>
        </w:r>
      </w:hyperlink>
    </w:p>
    <w:p w14:paraId="5472240B" w14:textId="32F971C6" w:rsidR="00E149AA" w:rsidRDefault="006D150E">
      <w:pPr>
        <w:pStyle w:val="TableofFigures"/>
        <w:rPr>
          <w:rFonts w:eastAsiaTheme="minorEastAsia"/>
          <w:kern w:val="2"/>
          <w:sz w:val="22"/>
          <w:lang w:eastAsia="en-AU"/>
          <w14:ligatures w14:val="standardContextual"/>
        </w:rPr>
      </w:pPr>
      <w:hyperlink w:anchor="_Toc149851764" w:history="1">
        <w:r w:rsidR="00E149AA" w:rsidRPr="00B4725B">
          <w:rPr>
            <w:rStyle w:val="Hyperlink"/>
          </w:rPr>
          <w:t>Figure 4</w:t>
        </w:r>
        <w:r w:rsidR="00E149AA">
          <w:rPr>
            <w:rFonts w:eastAsiaTheme="minorEastAsia"/>
            <w:kern w:val="2"/>
            <w:sz w:val="22"/>
            <w:lang w:eastAsia="en-AU"/>
            <w14:ligatures w14:val="standardContextual"/>
          </w:rPr>
          <w:tab/>
        </w:r>
        <w:r w:rsidR="00E149AA" w:rsidRPr="00B4725B">
          <w:rPr>
            <w:rStyle w:val="Hyperlink"/>
          </w:rPr>
          <w:t>Zone Map</w:t>
        </w:r>
        <w:r w:rsidR="00E149AA">
          <w:rPr>
            <w:webHidden/>
          </w:rPr>
          <w:tab/>
        </w:r>
        <w:r w:rsidR="00E149AA">
          <w:rPr>
            <w:webHidden/>
          </w:rPr>
          <w:fldChar w:fldCharType="begin"/>
        </w:r>
        <w:r w:rsidR="00E149AA">
          <w:rPr>
            <w:webHidden/>
          </w:rPr>
          <w:instrText xml:space="preserve"> PAGEREF _Toc149851764 \h </w:instrText>
        </w:r>
        <w:r w:rsidR="00E149AA">
          <w:rPr>
            <w:webHidden/>
          </w:rPr>
        </w:r>
        <w:r w:rsidR="00E149AA">
          <w:rPr>
            <w:webHidden/>
          </w:rPr>
          <w:fldChar w:fldCharType="separate"/>
        </w:r>
        <w:r w:rsidR="007F66EC">
          <w:rPr>
            <w:webHidden/>
          </w:rPr>
          <w:t>18</w:t>
        </w:r>
        <w:r w:rsidR="00E149AA">
          <w:rPr>
            <w:webHidden/>
          </w:rPr>
          <w:fldChar w:fldCharType="end"/>
        </w:r>
      </w:hyperlink>
    </w:p>
    <w:p w14:paraId="39DD9988" w14:textId="476D780E" w:rsidR="00E149AA" w:rsidRDefault="006D150E">
      <w:pPr>
        <w:pStyle w:val="TableofFigures"/>
        <w:rPr>
          <w:rFonts w:eastAsiaTheme="minorEastAsia"/>
          <w:kern w:val="2"/>
          <w:sz w:val="22"/>
          <w:lang w:eastAsia="en-AU"/>
          <w14:ligatures w14:val="standardContextual"/>
        </w:rPr>
      </w:pPr>
      <w:hyperlink w:anchor="_Toc149851765" w:history="1">
        <w:r w:rsidR="00E149AA" w:rsidRPr="00B4725B">
          <w:rPr>
            <w:rStyle w:val="Hyperlink"/>
          </w:rPr>
          <w:t>Figure 5</w:t>
        </w:r>
        <w:r w:rsidR="00E149AA">
          <w:rPr>
            <w:rFonts w:eastAsiaTheme="minorEastAsia"/>
            <w:kern w:val="2"/>
            <w:sz w:val="22"/>
            <w:lang w:eastAsia="en-AU"/>
            <w14:ligatures w14:val="standardContextual"/>
          </w:rPr>
          <w:tab/>
        </w:r>
        <w:r w:rsidR="00E149AA" w:rsidRPr="00B4725B">
          <w:rPr>
            <w:rStyle w:val="Hyperlink"/>
          </w:rPr>
          <w:t>HO3 Map</w:t>
        </w:r>
        <w:r w:rsidR="00E149AA">
          <w:rPr>
            <w:webHidden/>
          </w:rPr>
          <w:tab/>
        </w:r>
        <w:r w:rsidR="00E149AA">
          <w:rPr>
            <w:webHidden/>
          </w:rPr>
          <w:fldChar w:fldCharType="begin"/>
        </w:r>
        <w:r w:rsidR="00E149AA">
          <w:rPr>
            <w:webHidden/>
          </w:rPr>
          <w:instrText xml:space="preserve"> PAGEREF _Toc149851765 \h </w:instrText>
        </w:r>
        <w:r w:rsidR="00E149AA">
          <w:rPr>
            <w:webHidden/>
          </w:rPr>
        </w:r>
        <w:r w:rsidR="00E149AA">
          <w:rPr>
            <w:webHidden/>
          </w:rPr>
          <w:fldChar w:fldCharType="separate"/>
        </w:r>
        <w:r w:rsidR="007F66EC">
          <w:rPr>
            <w:webHidden/>
          </w:rPr>
          <w:t>20</w:t>
        </w:r>
        <w:r w:rsidR="00E149AA">
          <w:rPr>
            <w:webHidden/>
          </w:rPr>
          <w:fldChar w:fldCharType="end"/>
        </w:r>
      </w:hyperlink>
    </w:p>
    <w:p w14:paraId="0557C097" w14:textId="18293FD9" w:rsidR="00E149AA" w:rsidRDefault="006D150E">
      <w:pPr>
        <w:pStyle w:val="TableofFigures"/>
        <w:rPr>
          <w:rFonts w:eastAsiaTheme="minorEastAsia"/>
          <w:kern w:val="2"/>
          <w:sz w:val="22"/>
          <w:lang w:eastAsia="en-AU"/>
          <w14:ligatures w14:val="standardContextual"/>
        </w:rPr>
      </w:pPr>
      <w:hyperlink w:anchor="_Toc149851766" w:history="1">
        <w:r w:rsidR="00E149AA" w:rsidRPr="00B4725B">
          <w:rPr>
            <w:rStyle w:val="Hyperlink"/>
          </w:rPr>
          <w:t>Figure 6</w:t>
        </w:r>
        <w:r w:rsidR="00E149AA">
          <w:rPr>
            <w:rFonts w:eastAsiaTheme="minorEastAsia"/>
            <w:kern w:val="2"/>
            <w:sz w:val="22"/>
            <w:lang w:eastAsia="en-AU"/>
            <w14:ligatures w14:val="standardContextual"/>
          </w:rPr>
          <w:tab/>
        </w:r>
        <w:r w:rsidR="00E149AA" w:rsidRPr="00B4725B">
          <w:rPr>
            <w:rStyle w:val="Hyperlink"/>
          </w:rPr>
          <w:t>DDO66 Map</w:t>
        </w:r>
        <w:r w:rsidR="00E149AA">
          <w:rPr>
            <w:webHidden/>
          </w:rPr>
          <w:tab/>
        </w:r>
        <w:r w:rsidR="00E149AA">
          <w:rPr>
            <w:webHidden/>
          </w:rPr>
          <w:fldChar w:fldCharType="begin"/>
        </w:r>
        <w:r w:rsidR="00E149AA">
          <w:rPr>
            <w:webHidden/>
          </w:rPr>
          <w:instrText xml:space="preserve"> PAGEREF _Toc149851766 \h </w:instrText>
        </w:r>
        <w:r w:rsidR="00E149AA">
          <w:rPr>
            <w:webHidden/>
          </w:rPr>
        </w:r>
        <w:r w:rsidR="00E149AA">
          <w:rPr>
            <w:webHidden/>
          </w:rPr>
          <w:fldChar w:fldCharType="separate"/>
        </w:r>
        <w:r w:rsidR="007F66EC">
          <w:rPr>
            <w:webHidden/>
          </w:rPr>
          <w:t>21</w:t>
        </w:r>
        <w:r w:rsidR="00E149AA">
          <w:rPr>
            <w:webHidden/>
          </w:rPr>
          <w:fldChar w:fldCharType="end"/>
        </w:r>
      </w:hyperlink>
    </w:p>
    <w:p w14:paraId="12840D97" w14:textId="1E650FBE" w:rsidR="00E149AA" w:rsidRDefault="006D150E">
      <w:pPr>
        <w:pStyle w:val="TableofFigures"/>
        <w:rPr>
          <w:rFonts w:eastAsiaTheme="minorEastAsia"/>
          <w:kern w:val="2"/>
          <w:sz w:val="22"/>
          <w:lang w:eastAsia="en-AU"/>
          <w14:ligatures w14:val="standardContextual"/>
        </w:rPr>
      </w:pPr>
      <w:hyperlink w:anchor="_Toc149851767" w:history="1">
        <w:r w:rsidR="00E149AA" w:rsidRPr="00B4725B">
          <w:rPr>
            <w:rStyle w:val="Hyperlink"/>
          </w:rPr>
          <w:t>Figure 7</w:t>
        </w:r>
        <w:r w:rsidR="00E149AA">
          <w:rPr>
            <w:rFonts w:eastAsiaTheme="minorEastAsia"/>
            <w:kern w:val="2"/>
            <w:sz w:val="22"/>
            <w:lang w:eastAsia="en-AU"/>
            <w14:ligatures w14:val="standardContextual"/>
          </w:rPr>
          <w:tab/>
        </w:r>
        <w:r w:rsidR="00E149AA" w:rsidRPr="00B4725B">
          <w:rPr>
            <w:rStyle w:val="Hyperlink"/>
          </w:rPr>
          <w:t>Illustrative Building Height Outcomes</w:t>
        </w:r>
        <w:r w:rsidR="00E149AA">
          <w:rPr>
            <w:webHidden/>
          </w:rPr>
          <w:tab/>
        </w:r>
        <w:r w:rsidR="00E149AA">
          <w:rPr>
            <w:webHidden/>
          </w:rPr>
          <w:fldChar w:fldCharType="begin"/>
        </w:r>
        <w:r w:rsidR="00E149AA">
          <w:rPr>
            <w:webHidden/>
          </w:rPr>
          <w:instrText xml:space="preserve"> PAGEREF _Toc149851767 \h </w:instrText>
        </w:r>
        <w:r w:rsidR="00E149AA">
          <w:rPr>
            <w:webHidden/>
          </w:rPr>
        </w:r>
        <w:r w:rsidR="00E149AA">
          <w:rPr>
            <w:webHidden/>
          </w:rPr>
          <w:fldChar w:fldCharType="separate"/>
        </w:r>
        <w:r w:rsidR="007F66EC">
          <w:rPr>
            <w:webHidden/>
          </w:rPr>
          <w:t>30</w:t>
        </w:r>
        <w:r w:rsidR="00E149AA">
          <w:rPr>
            <w:webHidden/>
          </w:rPr>
          <w:fldChar w:fldCharType="end"/>
        </w:r>
      </w:hyperlink>
    </w:p>
    <w:p w14:paraId="6F0A1E30" w14:textId="43C6039C" w:rsidR="00E149AA" w:rsidRDefault="006D150E">
      <w:pPr>
        <w:pStyle w:val="TableofFigures"/>
        <w:rPr>
          <w:rFonts w:eastAsiaTheme="minorEastAsia"/>
          <w:kern w:val="2"/>
          <w:sz w:val="22"/>
          <w:lang w:eastAsia="en-AU"/>
          <w14:ligatures w14:val="standardContextual"/>
        </w:rPr>
      </w:pPr>
      <w:hyperlink w:anchor="_Toc149851768" w:history="1">
        <w:r w:rsidR="00E149AA" w:rsidRPr="00B4725B">
          <w:rPr>
            <w:rStyle w:val="Hyperlink"/>
          </w:rPr>
          <w:t>Figure 8</w:t>
        </w:r>
        <w:r w:rsidR="00E149AA">
          <w:rPr>
            <w:rFonts w:eastAsiaTheme="minorEastAsia"/>
            <w:kern w:val="2"/>
            <w:sz w:val="22"/>
            <w:lang w:eastAsia="en-AU"/>
            <w14:ligatures w14:val="standardContextual"/>
          </w:rPr>
          <w:tab/>
        </w:r>
        <w:r w:rsidR="00E149AA" w:rsidRPr="00B4725B">
          <w:rPr>
            <w:rStyle w:val="Hyperlink"/>
          </w:rPr>
          <w:t>Illustrative Built Form Outcome - Arden Street &amp; Macaulay Road</w:t>
        </w:r>
        <w:r w:rsidR="00E149AA">
          <w:rPr>
            <w:webHidden/>
          </w:rPr>
          <w:tab/>
        </w:r>
        <w:r w:rsidR="00E149AA">
          <w:rPr>
            <w:webHidden/>
          </w:rPr>
          <w:fldChar w:fldCharType="begin"/>
        </w:r>
        <w:r w:rsidR="00E149AA">
          <w:rPr>
            <w:webHidden/>
          </w:rPr>
          <w:instrText xml:space="preserve"> PAGEREF _Toc149851768 \h </w:instrText>
        </w:r>
        <w:r w:rsidR="00E149AA">
          <w:rPr>
            <w:webHidden/>
          </w:rPr>
        </w:r>
        <w:r w:rsidR="00E149AA">
          <w:rPr>
            <w:webHidden/>
          </w:rPr>
          <w:fldChar w:fldCharType="separate"/>
        </w:r>
        <w:r w:rsidR="007F66EC">
          <w:rPr>
            <w:webHidden/>
          </w:rPr>
          <w:t>32</w:t>
        </w:r>
        <w:r w:rsidR="00E149AA">
          <w:rPr>
            <w:webHidden/>
          </w:rPr>
          <w:fldChar w:fldCharType="end"/>
        </w:r>
      </w:hyperlink>
    </w:p>
    <w:p w14:paraId="72350A73" w14:textId="79462ACC" w:rsidR="00E149AA" w:rsidRDefault="006D150E">
      <w:pPr>
        <w:pStyle w:val="TableofFigures"/>
        <w:rPr>
          <w:rFonts w:eastAsiaTheme="minorEastAsia"/>
          <w:kern w:val="2"/>
          <w:sz w:val="22"/>
          <w:lang w:eastAsia="en-AU"/>
          <w14:ligatures w14:val="standardContextual"/>
        </w:rPr>
      </w:pPr>
      <w:hyperlink w:anchor="_Toc149851769" w:history="1">
        <w:r w:rsidR="00E149AA" w:rsidRPr="00B4725B">
          <w:rPr>
            <w:rStyle w:val="Hyperlink"/>
          </w:rPr>
          <w:t>Figure 9</w:t>
        </w:r>
        <w:r w:rsidR="00E149AA">
          <w:rPr>
            <w:rFonts w:eastAsiaTheme="minorEastAsia"/>
            <w:kern w:val="2"/>
            <w:sz w:val="22"/>
            <w:lang w:eastAsia="en-AU"/>
            <w14:ligatures w14:val="standardContextual"/>
          </w:rPr>
          <w:tab/>
        </w:r>
        <w:r w:rsidR="00E149AA" w:rsidRPr="00B4725B">
          <w:rPr>
            <w:rStyle w:val="Hyperlink"/>
          </w:rPr>
          <w:t>Overshadowing Study</w:t>
        </w:r>
        <w:r w:rsidR="00E149AA">
          <w:rPr>
            <w:webHidden/>
          </w:rPr>
          <w:tab/>
        </w:r>
        <w:r w:rsidR="00E149AA">
          <w:rPr>
            <w:webHidden/>
          </w:rPr>
          <w:fldChar w:fldCharType="begin"/>
        </w:r>
        <w:r w:rsidR="00E149AA">
          <w:rPr>
            <w:webHidden/>
          </w:rPr>
          <w:instrText xml:space="preserve"> PAGEREF _Toc149851769 \h </w:instrText>
        </w:r>
        <w:r w:rsidR="00E149AA">
          <w:rPr>
            <w:webHidden/>
          </w:rPr>
        </w:r>
        <w:r w:rsidR="00E149AA">
          <w:rPr>
            <w:webHidden/>
          </w:rPr>
          <w:fldChar w:fldCharType="separate"/>
        </w:r>
        <w:r w:rsidR="007F66EC">
          <w:rPr>
            <w:webHidden/>
          </w:rPr>
          <w:t>34</w:t>
        </w:r>
        <w:r w:rsidR="00E149AA">
          <w:rPr>
            <w:webHidden/>
          </w:rPr>
          <w:fldChar w:fldCharType="end"/>
        </w:r>
      </w:hyperlink>
    </w:p>
    <w:p w14:paraId="6D36D54A" w14:textId="77DED715" w:rsidR="002661BB" w:rsidRPr="007C57A8" w:rsidRDefault="00230351" w:rsidP="002661BB">
      <w:r>
        <w:rPr>
          <w:b/>
          <w:bCs/>
          <w:noProof/>
          <w:lang w:val="en-US"/>
        </w:rPr>
        <w:fldChar w:fldCharType="end"/>
      </w:r>
    </w:p>
    <w:p w14:paraId="6BA16893" w14:textId="77777777" w:rsidR="002661BB" w:rsidRDefault="002661BB" w:rsidP="002661BB">
      <w:pPr>
        <w:pStyle w:val="TOCSubheading"/>
      </w:pPr>
      <w:r>
        <w:t>Table of Tables</w:t>
      </w:r>
    </w:p>
    <w:p w14:paraId="401D432D" w14:textId="4C89949F" w:rsidR="00E149AA" w:rsidRDefault="002661BB">
      <w:pPr>
        <w:pStyle w:val="TableofFigures"/>
        <w:rPr>
          <w:rFonts w:eastAsiaTheme="minorEastAsia"/>
          <w:kern w:val="2"/>
          <w:sz w:val="22"/>
          <w:lang w:eastAsia="en-AU"/>
          <w14:ligatures w14:val="standardContextual"/>
        </w:rPr>
      </w:pPr>
      <w:r>
        <w:fldChar w:fldCharType="begin"/>
      </w:r>
      <w:r>
        <w:instrText xml:space="preserve"> TOC \h \z \c "Table" </w:instrText>
      </w:r>
      <w:r>
        <w:fldChar w:fldCharType="separate"/>
      </w:r>
      <w:hyperlink w:anchor="_Toc149851774" w:history="1">
        <w:r w:rsidR="00E149AA" w:rsidRPr="00D9302E">
          <w:rPr>
            <w:rStyle w:val="Hyperlink"/>
          </w:rPr>
          <w:t>Table 1</w:t>
        </w:r>
        <w:r w:rsidR="00E149AA">
          <w:rPr>
            <w:rFonts w:eastAsiaTheme="minorEastAsia"/>
            <w:kern w:val="2"/>
            <w:sz w:val="22"/>
            <w:lang w:eastAsia="en-AU"/>
            <w14:ligatures w14:val="standardContextual"/>
          </w:rPr>
          <w:tab/>
        </w:r>
        <w:r w:rsidR="00E149AA" w:rsidRPr="00D9302E">
          <w:rPr>
            <w:rStyle w:val="Hyperlink"/>
          </w:rPr>
          <w:t>Key planning summary</w:t>
        </w:r>
        <w:r w:rsidR="00E149AA">
          <w:rPr>
            <w:webHidden/>
          </w:rPr>
          <w:tab/>
        </w:r>
        <w:r w:rsidR="00E149AA">
          <w:rPr>
            <w:webHidden/>
          </w:rPr>
          <w:fldChar w:fldCharType="begin"/>
        </w:r>
        <w:r w:rsidR="00E149AA">
          <w:rPr>
            <w:webHidden/>
          </w:rPr>
          <w:instrText xml:space="preserve"> PAGEREF _Toc149851774 \h </w:instrText>
        </w:r>
        <w:r w:rsidR="00E149AA">
          <w:rPr>
            <w:webHidden/>
          </w:rPr>
        </w:r>
        <w:r w:rsidR="00E149AA">
          <w:rPr>
            <w:webHidden/>
          </w:rPr>
          <w:fldChar w:fldCharType="separate"/>
        </w:r>
        <w:r w:rsidR="007F66EC">
          <w:rPr>
            <w:webHidden/>
          </w:rPr>
          <w:t>8</w:t>
        </w:r>
        <w:r w:rsidR="00E149AA">
          <w:rPr>
            <w:webHidden/>
          </w:rPr>
          <w:fldChar w:fldCharType="end"/>
        </w:r>
      </w:hyperlink>
    </w:p>
    <w:p w14:paraId="3DA6EDD7" w14:textId="7D8DE836" w:rsidR="00E149AA" w:rsidRDefault="006D150E">
      <w:pPr>
        <w:pStyle w:val="TableofFigures"/>
        <w:rPr>
          <w:rFonts w:eastAsiaTheme="minorEastAsia"/>
          <w:kern w:val="2"/>
          <w:sz w:val="22"/>
          <w:lang w:eastAsia="en-AU"/>
          <w14:ligatures w14:val="standardContextual"/>
        </w:rPr>
      </w:pPr>
      <w:hyperlink w:anchor="_Toc149851775" w:history="1">
        <w:r w:rsidR="00E149AA" w:rsidRPr="00D9302E">
          <w:rPr>
            <w:rStyle w:val="Hyperlink"/>
          </w:rPr>
          <w:t xml:space="preserve">Table 2 </w:t>
        </w:r>
        <w:r w:rsidR="00E149AA">
          <w:rPr>
            <w:rFonts w:eastAsiaTheme="minorEastAsia"/>
            <w:kern w:val="2"/>
            <w:sz w:val="22"/>
            <w:lang w:eastAsia="en-AU"/>
            <w14:ligatures w14:val="standardContextual"/>
          </w:rPr>
          <w:tab/>
        </w:r>
        <w:r w:rsidR="00E149AA" w:rsidRPr="00D9302E">
          <w:rPr>
            <w:rStyle w:val="Hyperlink"/>
          </w:rPr>
          <w:t>GRZ1 Table of uses</w:t>
        </w:r>
        <w:r w:rsidR="00E149AA">
          <w:rPr>
            <w:webHidden/>
          </w:rPr>
          <w:tab/>
        </w:r>
        <w:r w:rsidR="00E149AA">
          <w:rPr>
            <w:webHidden/>
          </w:rPr>
          <w:fldChar w:fldCharType="begin"/>
        </w:r>
        <w:r w:rsidR="00E149AA">
          <w:rPr>
            <w:webHidden/>
          </w:rPr>
          <w:instrText xml:space="preserve"> PAGEREF _Toc149851775 \h </w:instrText>
        </w:r>
        <w:r w:rsidR="00E149AA">
          <w:rPr>
            <w:webHidden/>
          </w:rPr>
        </w:r>
        <w:r w:rsidR="00E149AA">
          <w:rPr>
            <w:webHidden/>
          </w:rPr>
          <w:fldChar w:fldCharType="separate"/>
        </w:r>
        <w:r w:rsidR="007F66EC">
          <w:rPr>
            <w:webHidden/>
          </w:rPr>
          <w:t>18</w:t>
        </w:r>
        <w:r w:rsidR="00E149AA">
          <w:rPr>
            <w:webHidden/>
          </w:rPr>
          <w:fldChar w:fldCharType="end"/>
        </w:r>
      </w:hyperlink>
    </w:p>
    <w:p w14:paraId="47FF1870" w14:textId="038871E6" w:rsidR="00E149AA" w:rsidRDefault="006D150E">
      <w:pPr>
        <w:pStyle w:val="TableofFigures"/>
        <w:rPr>
          <w:rFonts w:eastAsiaTheme="minorEastAsia"/>
          <w:kern w:val="2"/>
          <w:sz w:val="22"/>
          <w:lang w:eastAsia="en-AU"/>
          <w14:ligatures w14:val="standardContextual"/>
        </w:rPr>
      </w:pPr>
      <w:hyperlink w:anchor="_Toc149851776" w:history="1">
        <w:r w:rsidR="00E149AA" w:rsidRPr="00D9302E">
          <w:rPr>
            <w:rStyle w:val="Hyperlink"/>
          </w:rPr>
          <w:t xml:space="preserve">Table 3 </w:t>
        </w:r>
        <w:r w:rsidR="00E149AA">
          <w:rPr>
            <w:rFonts w:eastAsiaTheme="minorEastAsia"/>
            <w:kern w:val="2"/>
            <w:sz w:val="22"/>
            <w:lang w:eastAsia="en-AU"/>
            <w14:ligatures w14:val="standardContextual"/>
          </w:rPr>
          <w:tab/>
        </w:r>
        <w:r w:rsidR="00E149AA" w:rsidRPr="00D9302E">
          <w:rPr>
            <w:rStyle w:val="Hyperlink"/>
          </w:rPr>
          <w:t>MUZ Table of uses</w:t>
        </w:r>
        <w:r w:rsidR="00E149AA">
          <w:rPr>
            <w:webHidden/>
          </w:rPr>
          <w:tab/>
        </w:r>
        <w:r w:rsidR="00E149AA">
          <w:rPr>
            <w:webHidden/>
          </w:rPr>
          <w:fldChar w:fldCharType="begin"/>
        </w:r>
        <w:r w:rsidR="00E149AA">
          <w:rPr>
            <w:webHidden/>
          </w:rPr>
          <w:instrText xml:space="preserve"> PAGEREF _Toc149851776 \h </w:instrText>
        </w:r>
        <w:r w:rsidR="00E149AA">
          <w:rPr>
            <w:webHidden/>
          </w:rPr>
        </w:r>
        <w:r w:rsidR="00E149AA">
          <w:rPr>
            <w:webHidden/>
          </w:rPr>
          <w:fldChar w:fldCharType="separate"/>
        </w:r>
        <w:r w:rsidR="007F66EC">
          <w:rPr>
            <w:webHidden/>
          </w:rPr>
          <w:t>19</w:t>
        </w:r>
        <w:r w:rsidR="00E149AA">
          <w:rPr>
            <w:webHidden/>
          </w:rPr>
          <w:fldChar w:fldCharType="end"/>
        </w:r>
      </w:hyperlink>
    </w:p>
    <w:p w14:paraId="20595788" w14:textId="4E0066FB" w:rsidR="00E149AA" w:rsidRDefault="006D150E">
      <w:pPr>
        <w:pStyle w:val="TableofFigures"/>
        <w:rPr>
          <w:rFonts w:eastAsiaTheme="minorEastAsia"/>
          <w:kern w:val="2"/>
          <w:sz w:val="22"/>
          <w:lang w:eastAsia="en-AU"/>
          <w14:ligatures w14:val="standardContextual"/>
        </w:rPr>
      </w:pPr>
      <w:hyperlink w:anchor="_Toc149851777" w:history="1">
        <w:r w:rsidR="00E149AA" w:rsidRPr="00D9302E">
          <w:rPr>
            <w:rStyle w:val="Hyperlink"/>
          </w:rPr>
          <w:t>Table 4</w:t>
        </w:r>
        <w:r w:rsidR="00E149AA">
          <w:rPr>
            <w:rFonts w:eastAsiaTheme="minorEastAsia"/>
            <w:kern w:val="2"/>
            <w:sz w:val="22"/>
            <w:lang w:eastAsia="en-AU"/>
            <w14:ligatures w14:val="standardContextual"/>
          </w:rPr>
          <w:tab/>
        </w:r>
        <w:r w:rsidR="00E149AA" w:rsidRPr="00D9302E">
          <w:rPr>
            <w:rStyle w:val="Hyperlink"/>
          </w:rPr>
          <w:t>Helicopter Landing Sites</w:t>
        </w:r>
        <w:r w:rsidR="00E149AA">
          <w:rPr>
            <w:webHidden/>
          </w:rPr>
          <w:tab/>
        </w:r>
        <w:r w:rsidR="00E149AA">
          <w:rPr>
            <w:webHidden/>
          </w:rPr>
          <w:fldChar w:fldCharType="begin"/>
        </w:r>
        <w:r w:rsidR="00E149AA">
          <w:rPr>
            <w:webHidden/>
          </w:rPr>
          <w:instrText xml:space="preserve"> PAGEREF _Toc149851777 \h </w:instrText>
        </w:r>
        <w:r w:rsidR="00E149AA">
          <w:rPr>
            <w:webHidden/>
          </w:rPr>
        </w:r>
        <w:r w:rsidR="00E149AA">
          <w:rPr>
            <w:webHidden/>
          </w:rPr>
          <w:fldChar w:fldCharType="separate"/>
        </w:r>
        <w:r w:rsidR="007F66EC">
          <w:rPr>
            <w:webHidden/>
          </w:rPr>
          <w:t>21</w:t>
        </w:r>
        <w:r w:rsidR="00E149AA">
          <w:rPr>
            <w:webHidden/>
          </w:rPr>
          <w:fldChar w:fldCharType="end"/>
        </w:r>
      </w:hyperlink>
    </w:p>
    <w:p w14:paraId="68BE74DA" w14:textId="1E7FC3E4" w:rsidR="002253E9" w:rsidRDefault="002661BB" w:rsidP="002661BB">
      <w:r>
        <w:fldChar w:fldCharType="end"/>
      </w:r>
    </w:p>
    <w:p w14:paraId="6D95C9ED" w14:textId="77777777" w:rsidR="00465328" w:rsidRDefault="00465328" w:rsidP="00517784">
      <w:pPr>
        <w:pStyle w:val="ListNumber"/>
        <w:sectPr w:rsidR="00465328" w:rsidSect="002661BB">
          <w:headerReference w:type="default" r:id="rId19"/>
          <w:pgSz w:w="11906" w:h="16838" w:code="9"/>
          <w:pgMar w:top="1134" w:right="850" w:bottom="1134" w:left="850" w:header="567" w:footer="283" w:gutter="0"/>
          <w:cols w:space="708"/>
          <w:titlePg/>
          <w:docGrid w:linePitch="360"/>
        </w:sectPr>
      </w:pPr>
      <w:bookmarkStart w:id="4" w:name="SubDocInstruction"/>
    </w:p>
    <w:p w14:paraId="2670772B" w14:textId="77777777" w:rsidR="00465328" w:rsidRPr="00465328" w:rsidRDefault="00465328" w:rsidP="00C63591">
      <w:pPr>
        <w:pStyle w:val="Heading1NoNumbers"/>
      </w:pPr>
      <w:bookmarkStart w:id="5" w:name="_Toc152146925"/>
      <w:bookmarkEnd w:id="4"/>
      <w:r w:rsidRPr="00465328">
        <w:lastRenderedPageBreak/>
        <w:t>Executive Summary</w:t>
      </w:r>
      <w:bookmarkEnd w:id="5"/>
    </w:p>
    <w:p w14:paraId="43988004" w14:textId="77777777" w:rsidR="00465328" w:rsidRPr="00C63591" w:rsidRDefault="00465328" w:rsidP="00C63591">
      <w:pPr>
        <w:pStyle w:val="Heading2NoNumbers"/>
      </w:pPr>
      <w:r w:rsidRPr="00C63591">
        <w:t>Background</w:t>
      </w:r>
    </w:p>
    <w:p w14:paraId="32EFF5FC" w14:textId="23400D1E" w:rsidR="009E2C63" w:rsidRPr="00EF39B5" w:rsidRDefault="009E2C63" w:rsidP="00706D5D">
      <w:pPr>
        <w:pStyle w:val="ESNumberedBullet1"/>
        <w:spacing w:before="120" w:line="280" w:lineRule="atLeast"/>
        <w:rPr>
          <w:sz w:val="20"/>
          <w:szCs w:val="28"/>
        </w:rPr>
      </w:pPr>
      <w:r w:rsidRPr="00EF39B5">
        <w:rPr>
          <w:sz w:val="20"/>
          <w:szCs w:val="28"/>
        </w:rPr>
        <w:t xml:space="preserve">Ethos Urban </w:t>
      </w:r>
      <w:r w:rsidR="003C2C0A" w:rsidRPr="00EF39B5">
        <w:rPr>
          <w:sz w:val="20"/>
          <w:szCs w:val="28"/>
        </w:rPr>
        <w:t>has</w:t>
      </w:r>
      <w:r w:rsidRPr="00EF39B5">
        <w:rPr>
          <w:sz w:val="20"/>
          <w:szCs w:val="28"/>
        </w:rPr>
        <w:t xml:space="preserve"> been engaged by the Electrical Trades Union (ETU) to prepare a Planning Scheme Amendment (PSA) request for the subject site at 200 Arden Street, North Melbourne. </w:t>
      </w:r>
    </w:p>
    <w:p w14:paraId="66A81C17" w14:textId="1DD487AD" w:rsidR="00D0740D" w:rsidRPr="00EF39B5" w:rsidRDefault="009E2C63" w:rsidP="00706D5D">
      <w:pPr>
        <w:pStyle w:val="ESNumberedBullet1"/>
        <w:spacing w:before="120" w:line="280" w:lineRule="atLeast"/>
        <w:rPr>
          <w:sz w:val="20"/>
          <w:szCs w:val="28"/>
        </w:rPr>
      </w:pPr>
      <w:r w:rsidRPr="00EF39B5">
        <w:rPr>
          <w:sz w:val="20"/>
          <w:szCs w:val="28"/>
        </w:rPr>
        <w:t>The site is currently included within the General Residential Zone (GRZ)</w:t>
      </w:r>
      <w:r w:rsidR="00813F6D" w:rsidRPr="00EF39B5">
        <w:rPr>
          <w:sz w:val="20"/>
          <w:szCs w:val="28"/>
        </w:rPr>
        <w:t xml:space="preserve">, however the site has been used </w:t>
      </w:r>
      <w:r w:rsidRPr="00EF39B5">
        <w:rPr>
          <w:sz w:val="20"/>
          <w:szCs w:val="28"/>
        </w:rPr>
        <w:t xml:space="preserve">as </w:t>
      </w:r>
      <w:r w:rsidR="00D0740D" w:rsidRPr="00EF39B5">
        <w:rPr>
          <w:sz w:val="20"/>
          <w:szCs w:val="28"/>
        </w:rPr>
        <w:t>an office</w:t>
      </w:r>
      <w:r w:rsidR="00813F6D" w:rsidRPr="00EF39B5">
        <w:rPr>
          <w:sz w:val="20"/>
          <w:szCs w:val="28"/>
        </w:rPr>
        <w:t>,</w:t>
      </w:r>
      <w:r w:rsidR="00D0740D" w:rsidRPr="00EF39B5">
        <w:rPr>
          <w:sz w:val="20"/>
          <w:szCs w:val="28"/>
        </w:rPr>
        <w:t xml:space="preserve"> and has been in such use</w:t>
      </w:r>
      <w:r w:rsidR="00813F6D" w:rsidRPr="00EF39B5">
        <w:rPr>
          <w:sz w:val="20"/>
          <w:szCs w:val="28"/>
        </w:rPr>
        <w:t xml:space="preserve">, </w:t>
      </w:r>
      <w:r w:rsidR="00D0740D" w:rsidRPr="00EF39B5">
        <w:rPr>
          <w:sz w:val="20"/>
          <w:szCs w:val="28"/>
        </w:rPr>
        <w:t xml:space="preserve">for in excess of </w:t>
      </w:r>
      <w:r w:rsidR="00A37DE0" w:rsidRPr="00EF39B5">
        <w:rPr>
          <w:sz w:val="20"/>
          <w:szCs w:val="28"/>
        </w:rPr>
        <w:t>10</w:t>
      </w:r>
      <w:r w:rsidR="00D0740D" w:rsidRPr="00EF39B5">
        <w:rPr>
          <w:sz w:val="20"/>
          <w:szCs w:val="28"/>
        </w:rPr>
        <w:t xml:space="preserve"> years.</w:t>
      </w:r>
    </w:p>
    <w:p w14:paraId="5F67FEC4" w14:textId="65996EAC" w:rsidR="00E149AA" w:rsidRPr="00EF39B5" w:rsidRDefault="00E149AA" w:rsidP="00706D5D">
      <w:pPr>
        <w:pStyle w:val="ESNumberedBullet1"/>
        <w:spacing w:before="120" w:line="280" w:lineRule="atLeast"/>
        <w:rPr>
          <w:sz w:val="20"/>
          <w:szCs w:val="28"/>
        </w:rPr>
      </w:pPr>
      <w:r w:rsidRPr="00EF39B5">
        <w:rPr>
          <w:sz w:val="20"/>
          <w:szCs w:val="28"/>
        </w:rPr>
        <w:t>The zoning of the site does not reflect its historical and on-going industrial and commercial use, as recognised by CoM and DELWP</w:t>
      </w:r>
      <w:r w:rsidR="00EF39B5" w:rsidRPr="00EF39B5">
        <w:rPr>
          <w:sz w:val="20"/>
          <w:szCs w:val="28"/>
        </w:rPr>
        <w:t xml:space="preserve">. </w:t>
      </w:r>
    </w:p>
    <w:p w14:paraId="00D366D5" w14:textId="0BA1B212" w:rsidR="00A37DE0" w:rsidRPr="00EF39B5" w:rsidRDefault="00D0740D" w:rsidP="00706D5D">
      <w:pPr>
        <w:pStyle w:val="ESNumberedBullet1"/>
        <w:spacing w:before="120" w:line="280" w:lineRule="atLeast"/>
        <w:rPr>
          <w:sz w:val="20"/>
          <w:szCs w:val="28"/>
        </w:rPr>
      </w:pPr>
      <w:r w:rsidRPr="00EF39B5">
        <w:rPr>
          <w:sz w:val="20"/>
          <w:szCs w:val="28"/>
        </w:rPr>
        <w:t xml:space="preserve">Significant engagement has been undertaken with </w:t>
      </w:r>
      <w:r w:rsidR="003C2C0A" w:rsidRPr="00EF39B5">
        <w:rPr>
          <w:sz w:val="20"/>
          <w:szCs w:val="28"/>
        </w:rPr>
        <w:t xml:space="preserve">the </w:t>
      </w:r>
      <w:r w:rsidRPr="00EF39B5">
        <w:rPr>
          <w:sz w:val="20"/>
          <w:szCs w:val="28"/>
        </w:rPr>
        <w:t xml:space="preserve">City of Melbourne (CoM) Council and various stakeholders including </w:t>
      </w:r>
      <w:r w:rsidR="003C2C0A" w:rsidRPr="00EF39B5">
        <w:rPr>
          <w:sz w:val="20"/>
          <w:szCs w:val="28"/>
        </w:rPr>
        <w:t xml:space="preserve">the </w:t>
      </w:r>
      <w:r w:rsidRPr="00EF39B5">
        <w:rPr>
          <w:sz w:val="20"/>
          <w:szCs w:val="28"/>
        </w:rPr>
        <w:t xml:space="preserve">Victorian Planning Authority (VPA) and </w:t>
      </w:r>
      <w:r w:rsidR="003C2C0A" w:rsidRPr="00EF39B5">
        <w:rPr>
          <w:sz w:val="20"/>
          <w:szCs w:val="28"/>
        </w:rPr>
        <w:t xml:space="preserve">the </w:t>
      </w:r>
      <w:r w:rsidRPr="00EF39B5">
        <w:rPr>
          <w:sz w:val="20"/>
          <w:szCs w:val="28"/>
        </w:rPr>
        <w:t xml:space="preserve">Department of Families, Fairness and Housing (DFFH) since 2019. </w:t>
      </w:r>
    </w:p>
    <w:p w14:paraId="183DAAEE" w14:textId="7482596F" w:rsidR="00465328" w:rsidRPr="00EF39B5" w:rsidRDefault="00E149AA" w:rsidP="00706D5D">
      <w:pPr>
        <w:pStyle w:val="ESNumberedBullet1"/>
        <w:spacing w:before="120" w:line="280" w:lineRule="atLeast"/>
        <w:rPr>
          <w:sz w:val="20"/>
          <w:szCs w:val="28"/>
        </w:rPr>
      </w:pPr>
      <w:r w:rsidRPr="00EF39B5">
        <w:rPr>
          <w:sz w:val="20"/>
          <w:szCs w:val="28"/>
        </w:rPr>
        <w:t xml:space="preserve">Ethos Urban have </w:t>
      </w:r>
      <w:r w:rsidR="00935928" w:rsidRPr="00EF39B5">
        <w:rPr>
          <w:sz w:val="20"/>
          <w:szCs w:val="28"/>
        </w:rPr>
        <w:t xml:space="preserve">recently </w:t>
      </w:r>
      <w:r w:rsidRPr="00EF39B5">
        <w:rPr>
          <w:sz w:val="20"/>
          <w:szCs w:val="28"/>
        </w:rPr>
        <w:t>engaged with the City of Melbourn</w:t>
      </w:r>
      <w:r w:rsidR="00935928" w:rsidRPr="00EF39B5">
        <w:rPr>
          <w:sz w:val="20"/>
          <w:szCs w:val="28"/>
        </w:rPr>
        <w:t>e’s i</w:t>
      </w:r>
      <w:r w:rsidRPr="00EF39B5">
        <w:rPr>
          <w:sz w:val="20"/>
          <w:szCs w:val="28"/>
        </w:rPr>
        <w:t>nternal teams</w:t>
      </w:r>
      <w:r w:rsidR="00935928" w:rsidRPr="00EF39B5">
        <w:rPr>
          <w:sz w:val="20"/>
          <w:szCs w:val="28"/>
        </w:rPr>
        <w:t xml:space="preserve">, </w:t>
      </w:r>
      <w:r w:rsidRPr="00EF39B5">
        <w:rPr>
          <w:sz w:val="20"/>
          <w:szCs w:val="28"/>
        </w:rPr>
        <w:t>including Statutory Planning, Heritage</w:t>
      </w:r>
      <w:r w:rsidR="00935928" w:rsidRPr="00EF39B5">
        <w:rPr>
          <w:sz w:val="20"/>
          <w:szCs w:val="28"/>
        </w:rPr>
        <w:t xml:space="preserve">, </w:t>
      </w:r>
      <w:r w:rsidRPr="00EF39B5">
        <w:rPr>
          <w:sz w:val="20"/>
          <w:szCs w:val="28"/>
        </w:rPr>
        <w:t>and Urban Design</w:t>
      </w:r>
      <w:r w:rsidR="00935928" w:rsidRPr="00EF39B5">
        <w:rPr>
          <w:sz w:val="20"/>
          <w:szCs w:val="28"/>
        </w:rPr>
        <w:t xml:space="preserve">. These teams </w:t>
      </w:r>
      <w:r w:rsidRPr="00EF39B5">
        <w:rPr>
          <w:sz w:val="20"/>
          <w:szCs w:val="28"/>
        </w:rPr>
        <w:t xml:space="preserve">have confirmed </w:t>
      </w:r>
      <w:r w:rsidR="00935928" w:rsidRPr="00EF39B5">
        <w:rPr>
          <w:sz w:val="20"/>
          <w:szCs w:val="28"/>
        </w:rPr>
        <w:t xml:space="preserve">in-principle </w:t>
      </w:r>
      <w:r w:rsidRPr="00EF39B5">
        <w:rPr>
          <w:sz w:val="20"/>
          <w:szCs w:val="28"/>
        </w:rPr>
        <w:t>support the amendment</w:t>
      </w:r>
      <w:r w:rsidR="00B229E7" w:rsidRPr="00EF39B5">
        <w:rPr>
          <w:sz w:val="20"/>
          <w:szCs w:val="28"/>
        </w:rPr>
        <w:t xml:space="preserve">. </w:t>
      </w:r>
      <w:r w:rsidRPr="00EF39B5">
        <w:rPr>
          <w:sz w:val="20"/>
          <w:szCs w:val="28"/>
        </w:rPr>
        <w:t>Updates to the DDO have been completed in response to the commentary received</w:t>
      </w:r>
      <w:r w:rsidR="00706D5D" w:rsidRPr="00EF39B5">
        <w:rPr>
          <w:sz w:val="20"/>
          <w:szCs w:val="28"/>
        </w:rPr>
        <w:t xml:space="preserve">. </w:t>
      </w:r>
    </w:p>
    <w:p w14:paraId="10D31A78" w14:textId="7CB315BC" w:rsidR="00465328" w:rsidRPr="00C63591" w:rsidRDefault="009608BC" w:rsidP="00C63591">
      <w:pPr>
        <w:pStyle w:val="Heading2NoNumbers"/>
      </w:pPr>
      <w:r>
        <w:t>The Planning Scheme Amendment</w:t>
      </w:r>
    </w:p>
    <w:p w14:paraId="0DAB354E" w14:textId="77777777" w:rsidR="00465328" w:rsidRPr="00EF39B5" w:rsidRDefault="00465328" w:rsidP="00706D5D">
      <w:pPr>
        <w:spacing w:before="120" w:line="280" w:lineRule="atLeast"/>
        <w:jc w:val="both"/>
        <w:rPr>
          <w:sz w:val="20"/>
          <w:szCs w:val="28"/>
        </w:rPr>
      </w:pPr>
      <w:r w:rsidRPr="00EF39B5">
        <w:rPr>
          <w:sz w:val="20"/>
          <w:szCs w:val="28"/>
        </w:rPr>
        <w:t>A review of relevant policy documents makes clear:</w:t>
      </w:r>
    </w:p>
    <w:p w14:paraId="0A2DD8F6" w14:textId="4FACE48C" w:rsidR="00A37DE0" w:rsidRPr="00EF39B5" w:rsidRDefault="00A37DE0" w:rsidP="00706D5D">
      <w:pPr>
        <w:pStyle w:val="ESNumberedBullet1"/>
        <w:spacing w:before="120" w:line="280" w:lineRule="atLeast"/>
        <w:rPr>
          <w:sz w:val="20"/>
          <w:szCs w:val="28"/>
        </w:rPr>
      </w:pPr>
      <w:r w:rsidRPr="00EF39B5">
        <w:rPr>
          <w:sz w:val="20"/>
          <w:szCs w:val="28"/>
        </w:rPr>
        <w:t xml:space="preserve">The existing zoning as GRZ </w:t>
      </w:r>
      <w:r w:rsidR="00813F6D" w:rsidRPr="00EF39B5">
        <w:rPr>
          <w:sz w:val="20"/>
          <w:szCs w:val="28"/>
        </w:rPr>
        <w:t xml:space="preserve">is not appropriate for the </w:t>
      </w:r>
      <w:r w:rsidRPr="00EF39B5">
        <w:rPr>
          <w:sz w:val="20"/>
          <w:szCs w:val="28"/>
        </w:rPr>
        <w:t>existing use</w:t>
      </w:r>
      <w:r w:rsidR="003C2C0A" w:rsidRPr="00EF39B5">
        <w:rPr>
          <w:sz w:val="20"/>
          <w:szCs w:val="28"/>
        </w:rPr>
        <w:t>.</w:t>
      </w:r>
    </w:p>
    <w:p w14:paraId="02C91356" w14:textId="77777777" w:rsidR="00FC3DFD" w:rsidRPr="00EF39B5" w:rsidRDefault="00FC3DFD" w:rsidP="00706D5D">
      <w:pPr>
        <w:pStyle w:val="ESNumberedBullet1"/>
        <w:spacing w:before="120" w:line="280" w:lineRule="atLeast"/>
        <w:rPr>
          <w:sz w:val="20"/>
          <w:szCs w:val="28"/>
        </w:rPr>
      </w:pPr>
      <w:r w:rsidRPr="00EF39B5">
        <w:rPr>
          <w:sz w:val="20"/>
          <w:szCs w:val="28"/>
        </w:rPr>
        <w:t>The MUZ is the most appropriate zone for the site.</w:t>
      </w:r>
    </w:p>
    <w:p w14:paraId="0E9F1380" w14:textId="5F73B909" w:rsidR="00DB4A4D" w:rsidRPr="00EF39B5" w:rsidRDefault="00FC3DFD" w:rsidP="00706D5D">
      <w:pPr>
        <w:pStyle w:val="ESNumberedBullet1"/>
        <w:spacing w:before="120" w:line="280" w:lineRule="atLeast"/>
        <w:rPr>
          <w:sz w:val="20"/>
          <w:szCs w:val="28"/>
        </w:rPr>
      </w:pPr>
      <w:r w:rsidRPr="00EF39B5">
        <w:rPr>
          <w:sz w:val="20"/>
          <w:szCs w:val="28"/>
        </w:rPr>
        <w:t xml:space="preserve">All alternative zones (both residential and commercial) do not provide a mechanism to control site-specific design matters, and so a site-specific DDO (DDO82) has been prepared alongside the PSA. </w:t>
      </w:r>
    </w:p>
    <w:p w14:paraId="1C6F2A15" w14:textId="15D607B1" w:rsidR="00A37DE0" w:rsidRPr="00EF39B5" w:rsidRDefault="00787587" w:rsidP="00706D5D">
      <w:pPr>
        <w:pStyle w:val="ESNumberedBullet1"/>
        <w:spacing w:before="120" w:line="280" w:lineRule="atLeast"/>
        <w:rPr>
          <w:sz w:val="20"/>
          <w:szCs w:val="28"/>
        </w:rPr>
      </w:pPr>
      <w:r w:rsidRPr="00EF39B5">
        <w:rPr>
          <w:sz w:val="20"/>
          <w:szCs w:val="28"/>
        </w:rPr>
        <w:t xml:space="preserve">Other potential zones would be inappropriate given the </w:t>
      </w:r>
      <w:r w:rsidR="00D13A32" w:rsidRPr="00EF39B5">
        <w:rPr>
          <w:sz w:val="20"/>
          <w:szCs w:val="28"/>
        </w:rPr>
        <w:t xml:space="preserve">potential to have adverse impacts on the surrounding land uses in proximity to the site. </w:t>
      </w:r>
    </w:p>
    <w:p w14:paraId="076FC54D" w14:textId="19E2141F" w:rsidR="00465328" w:rsidRPr="00C63591" w:rsidRDefault="009608BC" w:rsidP="00C63591">
      <w:pPr>
        <w:pStyle w:val="Heading2NoNumbers"/>
      </w:pPr>
      <w:r w:rsidRPr="00FC3DFD">
        <w:t>Why is the Amendment Sought?</w:t>
      </w:r>
      <w:r>
        <w:t xml:space="preserve"> </w:t>
      </w:r>
    </w:p>
    <w:p w14:paraId="7D8EE768" w14:textId="0C52FAA7" w:rsidR="00A37DE0" w:rsidRPr="00EF39B5" w:rsidRDefault="00A37DE0" w:rsidP="00706D5D">
      <w:pPr>
        <w:pStyle w:val="ESNumberedBullet1"/>
        <w:spacing w:before="120" w:line="280" w:lineRule="atLeast"/>
        <w:rPr>
          <w:sz w:val="20"/>
          <w:szCs w:val="28"/>
        </w:rPr>
      </w:pPr>
      <w:r w:rsidRPr="00EF39B5">
        <w:rPr>
          <w:sz w:val="20"/>
          <w:szCs w:val="28"/>
        </w:rPr>
        <w:t>The existing zone is inappropriate, and the MUZ is the most suitable given the site</w:t>
      </w:r>
      <w:r w:rsidR="00DB4A4D" w:rsidRPr="00EF39B5">
        <w:rPr>
          <w:sz w:val="20"/>
          <w:szCs w:val="28"/>
        </w:rPr>
        <w:t>’s use</w:t>
      </w:r>
      <w:r w:rsidRPr="00EF39B5">
        <w:rPr>
          <w:sz w:val="20"/>
          <w:szCs w:val="28"/>
        </w:rPr>
        <w:t xml:space="preserve"> and surrounding context. </w:t>
      </w:r>
    </w:p>
    <w:p w14:paraId="491FDD85" w14:textId="707469BD" w:rsidR="00A37DE0" w:rsidRPr="00EF39B5" w:rsidRDefault="00A37DE0" w:rsidP="00706D5D">
      <w:pPr>
        <w:pStyle w:val="ESNumberedBullet1"/>
        <w:spacing w:before="120" w:line="280" w:lineRule="atLeast"/>
        <w:rPr>
          <w:sz w:val="20"/>
          <w:szCs w:val="28"/>
        </w:rPr>
      </w:pPr>
      <w:r w:rsidRPr="00EF39B5">
        <w:rPr>
          <w:sz w:val="20"/>
          <w:szCs w:val="28"/>
        </w:rPr>
        <w:t xml:space="preserve">The existing planning controls relating to the GRZ </w:t>
      </w:r>
      <w:r w:rsidR="006A1D57" w:rsidRPr="00EF39B5">
        <w:rPr>
          <w:sz w:val="20"/>
          <w:szCs w:val="28"/>
        </w:rPr>
        <w:t xml:space="preserve">do not include a fixed </w:t>
      </w:r>
      <w:r w:rsidR="00FC3DFD" w:rsidRPr="00EF39B5">
        <w:rPr>
          <w:sz w:val="20"/>
          <w:szCs w:val="28"/>
        </w:rPr>
        <w:t>height</w:t>
      </w:r>
      <w:r w:rsidR="006A1D57" w:rsidRPr="00EF39B5">
        <w:rPr>
          <w:sz w:val="20"/>
          <w:szCs w:val="28"/>
        </w:rPr>
        <w:t xml:space="preserve"> limit for non-residential </w:t>
      </w:r>
      <w:r w:rsidR="00FC3DFD" w:rsidRPr="00EF39B5">
        <w:rPr>
          <w:sz w:val="20"/>
          <w:szCs w:val="28"/>
        </w:rPr>
        <w:t>buildings, and</w:t>
      </w:r>
      <w:r w:rsidRPr="00EF39B5">
        <w:rPr>
          <w:sz w:val="20"/>
          <w:szCs w:val="28"/>
        </w:rPr>
        <w:t xml:space="preserve"> </w:t>
      </w:r>
      <w:r w:rsidR="006A1D57" w:rsidRPr="00EF39B5">
        <w:rPr>
          <w:sz w:val="20"/>
          <w:szCs w:val="28"/>
        </w:rPr>
        <w:t xml:space="preserve">so there </w:t>
      </w:r>
      <w:r w:rsidRPr="00EF39B5">
        <w:rPr>
          <w:sz w:val="20"/>
          <w:szCs w:val="28"/>
        </w:rPr>
        <w:t xml:space="preserve">is uncertainty in respect of the </w:t>
      </w:r>
      <w:r w:rsidR="00A007B6" w:rsidRPr="00EF39B5">
        <w:rPr>
          <w:sz w:val="20"/>
          <w:szCs w:val="28"/>
        </w:rPr>
        <w:t xml:space="preserve">site’s </w:t>
      </w:r>
      <w:r w:rsidRPr="00EF39B5">
        <w:rPr>
          <w:sz w:val="20"/>
          <w:szCs w:val="28"/>
        </w:rPr>
        <w:t>capacity for development or change.</w:t>
      </w:r>
    </w:p>
    <w:p w14:paraId="065F3326" w14:textId="2E5E62B4" w:rsidR="00A37DE0" w:rsidRPr="00EF39B5" w:rsidRDefault="00A37DE0" w:rsidP="00706D5D">
      <w:pPr>
        <w:pStyle w:val="ESNumberedBullet1"/>
        <w:spacing w:before="120" w:line="280" w:lineRule="atLeast"/>
        <w:rPr>
          <w:sz w:val="20"/>
          <w:szCs w:val="28"/>
        </w:rPr>
      </w:pPr>
      <w:r w:rsidRPr="00EF39B5">
        <w:rPr>
          <w:sz w:val="20"/>
          <w:szCs w:val="28"/>
        </w:rPr>
        <w:t>The appropriate zoning of the site will give the proponent more certainty in respect of their occupation, and any future works that are undertaken relating to the site.</w:t>
      </w:r>
    </w:p>
    <w:p w14:paraId="01C8E330" w14:textId="2A8D7B36" w:rsidR="00465328" w:rsidRPr="00C63591" w:rsidRDefault="009608BC" w:rsidP="00C63591">
      <w:pPr>
        <w:pStyle w:val="Heading2NoNumbers"/>
      </w:pPr>
      <w:r>
        <w:t>Conclusion</w:t>
      </w:r>
    </w:p>
    <w:p w14:paraId="5E862B0C" w14:textId="5227FFBA" w:rsidR="0028617A" w:rsidRPr="00EF39B5" w:rsidRDefault="0028617A" w:rsidP="00706D5D">
      <w:pPr>
        <w:pStyle w:val="ESNumberedBullet1"/>
        <w:spacing w:before="120" w:line="280" w:lineRule="atLeast"/>
        <w:rPr>
          <w:sz w:val="20"/>
          <w:szCs w:val="28"/>
        </w:rPr>
      </w:pPr>
      <w:r w:rsidRPr="00EF39B5">
        <w:rPr>
          <w:sz w:val="20"/>
          <w:szCs w:val="28"/>
        </w:rPr>
        <w:t xml:space="preserve">The amendment addresses the requirements of all relevant Ministerial Directions including Ministerial Directions 1, 9, 11, 12 and 19. </w:t>
      </w:r>
      <w:r w:rsidR="00A007B6" w:rsidRPr="00EF39B5">
        <w:rPr>
          <w:sz w:val="20"/>
          <w:szCs w:val="28"/>
        </w:rPr>
        <w:t xml:space="preserve">The proposed amendment to the Planning Scheme is appropriate and will ensure </w:t>
      </w:r>
      <w:r w:rsidR="00813F6D" w:rsidRPr="00EF39B5">
        <w:rPr>
          <w:sz w:val="20"/>
          <w:szCs w:val="28"/>
        </w:rPr>
        <w:t xml:space="preserve">that the zoning reflects the </w:t>
      </w:r>
      <w:r w:rsidR="00963FC3" w:rsidRPr="00EF39B5">
        <w:rPr>
          <w:sz w:val="20"/>
          <w:szCs w:val="28"/>
        </w:rPr>
        <w:t>e</w:t>
      </w:r>
      <w:r w:rsidR="00813F6D" w:rsidRPr="00EF39B5">
        <w:rPr>
          <w:sz w:val="20"/>
          <w:szCs w:val="28"/>
        </w:rPr>
        <w:t>xisting land use.</w:t>
      </w:r>
    </w:p>
    <w:p w14:paraId="4AB27377" w14:textId="77777777" w:rsidR="0007207C" w:rsidRPr="00EF39B5" w:rsidRDefault="00D31B0B" w:rsidP="00706D5D">
      <w:pPr>
        <w:pStyle w:val="ESNumberedBullet1"/>
        <w:spacing w:before="120" w:line="280" w:lineRule="atLeast"/>
        <w:rPr>
          <w:sz w:val="20"/>
          <w:szCs w:val="28"/>
        </w:rPr>
      </w:pPr>
      <w:r w:rsidRPr="00EF39B5">
        <w:rPr>
          <w:sz w:val="20"/>
          <w:szCs w:val="28"/>
        </w:rPr>
        <w:t xml:space="preserve">The amendment retains the existing Heritage Overlay (HO3) to ensure the heritage significance of the Melbourne Mills building is appropriately protected. </w:t>
      </w:r>
    </w:p>
    <w:p w14:paraId="556254AE" w14:textId="04479F2F" w:rsidR="00D31B0B" w:rsidRPr="00EF39B5" w:rsidRDefault="00D31B0B" w:rsidP="00706D5D">
      <w:pPr>
        <w:pStyle w:val="ESNumberedBullet1"/>
        <w:spacing w:before="120" w:line="280" w:lineRule="atLeast"/>
        <w:rPr>
          <w:sz w:val="20"/>
          <w:szCs w:val="28"/>
        </w:rPr>
      </w:pPr>
      <w:r w:rsidRPr="00EF39B5">
        <w:rPr>
          <w:sz w:val="20"/>
          <w:szCs w:val="28"/>
        </w:rPr>
        <w:t>Any future development scheme will be required to address all requirements of the HO and Clause 15.03-1L-02.</w:t>
      </w:r>
    </w:p>
    <w:p w14:paraId="73D6A610" w14:textId="765CC720" w:rsidR="0028617A" w:rsidRPr="00EF39B5" w:rsidRDefault="00D31B0B" w:rsidP="00706D5D">
      <w:pPr>
        <w:pStyle w:val="ESNumberedBullet1"/>
        <w:spacing w:before="120" w:line="280" w:lineRule="atLeast"/>
        <w:rPr>
          <w:sz w:val="20"/>
          <w:szCs w:val="28"/>
        </w:rPr>
      </w:pPr>
      <w:r w:rsidRPr="00EF39B5">
        <w:rPr>
          <w:sz w:val="20"/>
          <w:szCs w:val="28"/>
        </w:rPr>
        <w:lastRenderedPageBreak/>
        <w:t xml:space="preserve">The maximum building height and minimum setback requirements of the proposed DDO82 will ensure future built form does detract from the heritage significance is protected. </w:t>
      </w:r>
    </w:p>
    <w:p w14:paraId="50E83725" w14:textId="4DADAEC3" w:rsidR="00A007B6" w:rsidRPr="00EF39B5" w:rsidRDefault="00A007B6" w:rsidP="00706D5D">
      <w:pPr>
        <w:pStyle w:val="ESNumberedBullet1"/>
        <w:spacing w:before="120" w:line="280" w:lineRule="atLeast"/>
        <w:rPr>
          <w:sz w:val="20"/>
          <w:szCs w:val="28"/>
        </w:rPr>
      </w:pPr>
      <w:r w:rsidRPr="00EF39B5">
        <w:rPr>
          <w:sz w:val="20"/>
          <w:szCs w:val="28"/>
        </w:rPr>
        <w:t>The proposed re-zoning will ensure that residential amenity</w:t>
      </w:r>
      <w:r w:rsidR="00DB4A4D" w:rsidRPr="00EF39B5">
        <w:rPr>
          <w:sz w:val="20"/>
          <w:szCs w:val="28"/>
        </w:rPr>
        <w:t xml:space="preserve"> in the area</w:t>
      </w:r>
      <w:r w:rsidRPr="00EF39B5">
        <w:rPr>
          <w:sz w:val="20"/>
          <w:szCs w:val="28"/>
        </w:rPr>
        <w:t xml:space="preserve"> is </w:t>
      </w:r>
      <w:r w:rsidR="00AF38DD" w:rsidRPr="00EF39B5">
        <w:rPr>
          <w:sz w:val="20"/>
          <w:szCs w:val="28"/>
        </w:rPr>
        <w:t>protected and</w:t>
      </w:r>
      <w:r w:rsidR="00813F6D" w:rsidRPr="00EF39B5">
        <w:rPr>
          <w:sz w:val="20"/>
          <w:szCs w:val="28"/>
        </w:rPr>
        <w:t xml:space="preserve"> </w:t>
      </w:r>
      <w:r w:rsidRPr="00EF39B5">
        <w:rPr>
          <w:sz w:val="20"/>
          <w:szCs w:val="28"/>
        </w:rPr>
        <w:t>ensur</w:t>
      </w:r>
      <w:r w:rsidR="00813F6D" w:rsidRPr="00EF39B5">
        <w:rPr>
          <w:sz w:val="20"/>
          <w:szCs w:val="28"/>
        </w:rPr>
        <w:t xml:space="preserve">e </w:t>
      </w:r>
      <w:r w:rsidRPr="00EF39B5">
        <w:rPr>
          <w:sz w:val="20"/>
          <w:szCs w:val="28"/>
        </w:rPr>
        <w:t xml:space="preserve">that land uses that could have </w:t>
      </w:r>
      <w:r w:rsidR="003C2C0A" w:rsidRPr="00EF39B5">
        <w:rPr>
          <w:sz w:val="20"/>
          <w:szCs w:val="28"/>
        </w:rPr>
        <w:t xml:space="preserve">a </w:t>
      </w:r>
      <w:r w:rsidRPr="00EF39B5">
        <w:rPr>
          <w:sz w:val="20"/>
          <w:szCs w:val="28"/>
        </w:rPr>
        <w:t xml:space="preserve">potential negative impact would require an assessment through the permitting process. </w:t>
      </w:r>
    </w:p>
    <w:p w14:paraId="3BD0829A" w14:textId="77777777" w:rsidR="0028617A" w:rsidRPr="00EF39B5" w:rsidRDefault="00A007B6" w:rsidP="00706D5D">
      <w:pPr>
        <w:pStyle w:val="ESNumberedBullet1"/>
        <w:spacing w:before="120" w:line="280" w:lineRule="atLeast"/>
        <w:rPr>
          <w:sz w:val="20"/>
          <w:szCs w:val="28"/>
        </w:rPr>
      </w:pPr>
      <w:r w:rsidRPr="00EF39B5">
        <w:rPr>
          <w:sz w:val="20"/>
          <w:szCs w:val="28"/>
        </w:rPr>
        <w:t xml:space="preserve">The </w:t>
      </w:r>
      <w:r w:rsidR="00FC3DFD" w:rsidRPr="00EF39B5">
        <w:rPr>
          <w:sz w:val="20"/>
          <w:szCs w:val="28"/>
        </w:rPr>
        <w:t xml:space="preserve">proposed </w:t>
      </w:r>
      <w:r w:rsidRPr="00EF39B5">
        <w:rPr>
          <w:sz w:val="20"/>
          <w:szCs w:val="28"/>
        </w:rPr>
        <w:t xml:space="preserve">re-zoning </w:t>
      </w:r>
      <w:r w:rsidR="00FC3DFD" w:rsidRPr="00EF39B5">
        <w:rPr>
          <w:sz w:val="20"/>
          <w:szCs w:val="28"/>
        </w:rPr>
        <w:t>of the land will not lead to any built-form outcomes that would impact adjoining land uses in respect of overshadowing or sunlight provisions.</w:t>
      </w:r>
    </w:p>
    <w:p w14:paraId="47A876FA" w14:textId="77777777" w:rsidR="0028617A" w:rsidRPr="00EF39B5" w:rsidRDefault="0028617A" w:rsidP="00706D5D">
      <w:pPr>
        <w:pStyle w:val="ESNumberedBullet1"/>
        <w:spacing w:before="120" w:line="280" w:lineRule="atLeast"/>
        <w:rPr>
          <w:sz w:val="20"/>
          <w:szCs w:val="28"/>
        </w:rPr>
      </w:pPr>
      <w:r w:rsidRPr="00EF39B5">
        <w:rPr>
          <w:sz w:val="20"/>
          <w:szCs w:val="28"/>
        </w:rPr>
        <w:t xml:space="preserve">Utilises the MUZ as the most appropriate zone, when compared with other residential and commercial zones. </w:t>
      </w:r>
    </w:p>
    <w:p w14:paraId="5AB47CB3" w14:textId="031E978C" w:rsidR="0028617A" w:rsidRPr="00EF39B5" w:rsidRDefault="0028617A" w:rsidP="00706D5D">
      <w:pPr>
        <w:pStyle w:val="ESNumberedBullet1"/>
        <w:spacing w:before="120" w:line="280" w:lineRule="atLeast"/>
        <w:rPr>
          <w:sz w:val="20"/>
          <w:szCs w:val="28"/>
        </w:rPr>
      </w:pPr>
      <w:r w:rsidRPr="00EF39B5">
        <w:rPr>
          <w:sz w:val="20"/>
          <w:szCs w:val="28"/>
        </w:rPr>
        <w:t xml:space="preserve">Protects residential amenity and ensures that other land uses that could have a potential negative impact would require an assessment through the permitting process. </w:t>
      </w:r>
    </w:p>
    <w:p w14:paraId="2A67EAB4" w14:textId="0416ECBC" w:rsidR="00A007B6" w:rsidRPr="00EF39B5" w:rsidRDefault="00813F6D" w:rsidP="00706D5D">
      <w:pPr>
        <w:pStyle w:val="ESNumberedBullet1"/>
        <w:spacing w:before="120" w:line="280" w:lineRule="atLeast"/>
        <w:rPr>
          <w:sz w:val="20"/>
          <w:szCs w:val="28"/>
        </w:rPr>
      </w:pPr>
      <w:r w:rsidRPr="00EF39B5">
        <w:rPr>
          <w:sz w:val="20"/>
          <w:szCs w:val="28"/>
        </w:rPr>
        <w:t>It w</w:t>
      </w:r>
      <w:r w:rsidR="00A007B6" w:rsidRPr="00EF39B5">
        <w:rPr>
          <w:sz w:val="20"/>
          <w:szCs w:val="28"/>
        </w:rPr>
        <w:t xml:space="preserve">ill encourage the use of sustainable modes of travel, particularly once Arden Station is fully operational. </w:t>
      </w:r>
    </w:p>
    <w:p w14:paraId="7772358E" w14:textId="04BFAD39" w:rsidR="00A007B6" w:rsidRPr="00EF39B5" w:rsidRDefault="00813F6D" w:rsidP="00706D5D">
      <w:pPr>
        <w:pStyle w:val="ESNumberedBullet1"/>
        <w:spacing w:before="120" w:line="280" w:lineRule="atLeast"/>
        <w:rPr>
          <w:sz w:val="20"/>
          <w:szCs w:val="28"/>
        </w:rPr>
      </w:pPr>
      <w:r w:rsidRPr="00EF39B5">
        <w:rPr>
          <w:sz w:val="20"/>
          <w:szCs w:val="28"/>
        </w:rPr>
        <w:t>The amendment w</w:t>
      </w:r>
      <w:r w:rsidR="00A007B6" w:rsidRPr="00EF39B5">
        <w:rPr>
          <w:sz w:val="20"/>
          <w:szCs w:val="28"/>
        </w:rPr>
        <w:t xml:space="preserve">ill create far greater certainty for the ETU, which will ensure </w:t>
      </w:r>
      <w:r w:rsidR="00DB4A4D" w:rsidRPr="00EF39B5">
        <w:rPr>
          <w:sz w:val="20"/>
          <w:szCs w:val="28"/>
        </w:rPr>
        <w:t>its operation can continue and grow at the site. This</w:t>
      </w:r>
      <w:r w:rsidR="00A007B6" w:rsidRPr="00EF39B5">
        <w:rPr>
          <w:sz w:val="20"/>
          <w:szCs w:val="28"/>
        </w:rPr>
        <w:t xml:space="preserve"> will bring significant benefits to local communities and employers.</w:t>
      </w:r>
    </w:p>
    <w:p w14:paraId="630DD085" w14:textId="644D4CCF" w:rsidR="00A007B6" w:rsidRPr="00EF39B5" w:rsidRDefault="00A37DE0" w:rsidP="00706D5D">
      <w:pPr>
        <w:pStyle w:val="ESNumberedBullet1"/>
        <w:spacing w:before="120" w:line="280" w:lineRule="atLeast"/>
        <w:rPr>
          <w:sz w:val="20"/>
          <w:szCs w:val="28"/>
        </w:rPr>
      </w:pPr>
      <w:r w:rsidRPr="00EF39B5">
        <w:rPr>
          <w:sz w:val="20"/>
          <w:szCs w:val="28"/>
        </w:rPr>
        <w:t xml:space="preserve">Built-form controls set out within the DDO will ensure that any future development at the site will be an appropriate response to the surrounding context, and </w:t>
      </w:r>
      <w:r w:rsidR="00DB4A4D" w:rsidRPr="00EF39B5">
        <w:rPr>
          <w:sz w:val="20"/>
          <w:szCs w:val="28"/>
        </w:rPr>
        <w:t>adjacent</w:t>
      </w:r>
      <w:r w:rsidRPr="00EF39B5">
        <w:rPr>
          <w:sz w:val="20"/>
          <w:szCs w:val="28"/>
        </w:rPr>
        <w:t xml:space="preserve"> sensitive land uses in proximity.</w:t>
      </w:r>
    </w:p>
    <w:p w14:paraId="478821FA" w14:textId="1CF12389" w:rsidR="0007207C" w:rsidRPr="00EF39B5" w:rsidRDefault="0007207C" w:rsidP="00706D5D">
      <w:pPr>
        <w:pStyle w:val="ESNumberedBullet1"/>
        <w:spacing w:before="120" w:line="280" w:lineRule="atLeast"/>
        <w:rPr>
          <w:sz w:val="20"/>
          <w:szCs w:val="28"/>
        </w:rPr>
      </w:pPr>
      <w:r w:rsidRPr="00EF39B5">
        <w:rPr>
          <w:sz w:val="20"/>
          <w:szCs w:val="28"/>
        </w:rPr>
        <w:t xml:space="preserve">The rezoning can ensure future outcomes will appropriately respond to the Heritage Overlay (HO3) which relates to the site. </w:t>
      </w:r>
    </w:p>
    <w:p w14:paraId="015B534D" w14:textId="23446685" w:rsidR="0028617A" w:rsidRDefault="0028617A">
      <w:pPr>
        <w:spacing w:line="259" w:lineRule="auto"/>
        <w:contextualSpacing w:val="0"/>
      </w:pPr>
      <w:r>
        <w:br w:type="page"/>
      </w:r>
    </w:p>
    <w:p w14:paraId="64EBFE0B" w14:textId="77777777" w:rsidR="00C63591" w:rsidRPr="00C63591" w:rsidRDefault="00C63591" w:rsidP="00C63591">
      <w:pPr>
        <w:pStyle w:val="Heading1"/>
      </w:pPr>
      <w:bookmarkStart w:id="6" w:name="_Toc103201851"/>
      <w:bookmarkStart w:id="7" w:name="_Toc152146926"/>
      <w:r w:rsidRPr="00C63591">
        <w:lastRenderedPageBreak/>
        <w:t>Introduction</w:t>
      </w:r>
      <w:bookmarkEnd w:id="6"/>
      <w:bookmarkEnd w:id="7"/>
    </w:p>
    <w:p w14:paraId="4C7DD9D7" w14:textId="49BBD65F" w:rsidR="00C63591" w:rsidRDefault="00C63591" w:rsidP="00C63591">
      <w:pPr>
        <w:pStyle w:val="Heading2"/>
      </w:pPr>
      <w:bookmarkStart w:id="8" w:name="_Toc103201852"/>
      <w:bookmarkStart w:id="9" w:name="_Toc152146927"/>
      <w:r w:rsidRPr="00C63591">
        <w:t>Purpose of this Report</w:t>
      </w:r>
      <w:bookmarkEnd w:id="8"/>
      <w:bookmarkEnd w:id="9"/>
    </w:p>
    <w:p w14:paraId="131AF1E3" w14:textId="19B3941D" w:rsidR="00C63591" w:rsidRPr="00182B21" w:rsidRDefault="00C10962" w:rsidP="00706D5D">
      <w:pPr>
        <w:spacing w:before="120" w:line="280" w:lineRule="atLeast"/>
        <w:jc w:val="both"/>
        <w:rPr>
          <w:sz w:val="20"/>
          <w:szCs w:val="28"/>
        </w:rPr>
      </w:pPr>
      <w:bookmarkStart w:id="10" w:name="_Hlk121908267"/>
      <w:r w:rsidRPr="00182B21">
        <w:rPr>
          <w:sz w:val="20"/>
          <w:szCs w:val="28"/>
        </w:rPr>
        <w:t xml:space="preserve">Ethos Urban have been engaged by the Electrical Trades Union (ETU) to prepare a Planning Scheme Amendment (PSA) request for the </w:t>
      </w:r>
      <w:r w:rsidR="00663EF4" w:rsidRPr="00182B21">
        <w:rPr>
          <w:sz w:val="20"/>
          <w:szCs w:val="28"/>
        </w:rPr>
        <w:t>subject site</w:t>
      </w:r>
      <w:r w:rsidRPr="00182B21">
        <w:rPr>
          <w:sz w:val="20"/>
          <w:szCs w:val="28"/>
        </w:rPr>
        <w:t xml:space="preserve"> at 200 Arden Street, North Melbourne. </w:t>
      </w:r>
    </w:p>
    <w:bookmarkEnd w:id="10"/>
    <w:p w14:paraId="3BBFF47A" w14:textId="3B2681DA" w:rsidR="00663EF4" w:rsidRPr="00182B21" w:rsidRDefault="00663EF4" w:rsidP="00706D5D">
      <w:pPr>
        <w:spacing w:before="120" w:line="280" w:lineRule="atLeast"/>
        <w:jc w:val="both"/>
        <w:rPr>
          <w:sz w:val="20"/>
          <w:szCs w:val="28"/>
        </w:rPr>
      </w:pPr>
    </w:p>
    <w:p w14:paraId="4F504F00" w14:textId="57F26D49" w:rsidR="00663EF4" w:rsidRPr="00182B21" w:rsidRDefault="00663EF4" w:rsidP="00706D5D">
      <w:pPr>
        <w:spacing w:before="120" w:line="280" w:lineRule="atLeast"/>
        <w:jc w:val="both"/>
        <w:rPr>
          <w:sz w:val="20"/>
          <w:szCs w:val="28"/>
        </w:rPr>
      </w:pPr>
      <w:r w:rsidRPr="00182B21">
        <w:rPr>
          <w:sz w:val="20"/>
          <w:szCs w:val="28"/>
        </w:rPr>
        <w:t xml:space="preserve">The ETU have owned the site and utilised the existing commercial building for the purpose of administrative offices for more than ten years. A significant portion of the building is used by the ETU to deliver a variety of training and support programmes to ETU members, their </w:t>
      </w:r>
      <w:r w:rsidR="00C63DD1" w:rsidRPr="00182B21">
        <w:rPr>
          <w:sz w:val="20"/>
          <w:szCs w:val="28"/>
        </w:rPr>
        <w:t>families,</w:t>
      </w:r>
      <w:r w:rsidRPr="00182B21">
        <w:rPr>
          <w:sz w:val="20"/>
          <w:szCs w:val="28"/>
        </w:rPr>
        <w:t xml:space="preserve"> and the local community. The ETU also currently leases part of the property to Holmesglen Institute for use as commercial offices and training facilities, and there have previously been similar lease arrangements in relation to other parts of the property.</w:t>
      </w:r>
    </w:p>
    <w:p w14:paraId="3A1F4C8F" w14:textId="51C59796" w:rsidR="00821596" w:rsidRPr="00182B21" w:rsidRDefault="00821596" w:rsidP="00706D5D">
      <w:pPr>
        <w:spacing w:before="120" w:line="280" w:lineRule="atLeast"/>
        <w:jc w:val="both"/>
        <w:rPr>
          <w:sz w:val="20"/>
          <w:szCs w:val="28"/>
        </w:rPr>
      </w:pPr>
    </w:p>
    <w:p w14:paraId="4949DDAA" w14:textId="022BBCAD" w:rsidR="00844B3C" w:rsidRPr="00182B21" w:rsidRDefault="005B0A40" w:rsidP="00706D5D">
      <w:pPr>
        <w:spacing w:before="120" w:line="280" w:lineRule="atLeast"/>
        <w:jc w:val="both"/>
        <w:rPr>
          <w:sz w:val="20"/>
          <w:szCs w:val="28"/>
        </w:rPr>
      </w:pPr>
      <w:bookmarkStart w:id="11" w:name="_Hlk121216968"/>
      <w:r w:rsidRPr="00182B21">
        <w:rPr>
          <w:sz w:val="20"/>
          <w:szCs w:val="28"/>
        </w:rPr>
        <w:t xml:space="preserve">The ETU intend to continue using the </w:t>
      </w:r>
      <w:r w:rsidR="00A93754" w:rsidRPr="00182B21">
        <w:rPr>
          <w:sz w:val="20"/>
          <w:szCs w:val="28"/>
        </w:rPr>
        <w:t xml:space="preserve">site as </w:t>
      </w:r>
      <w:r w:rsidR="00455833" w:rsidRPr="00182B21">
        <w:rPr>
          <w:sz w:val="20"/>
          <w:szCs w:val="28"/>
        </w:rPr>
        <w:t xml:space="preserve">its </w:t>
      </w:r>
      <w:r w:rsidR="00A93754" w:rsidRPr="00182B21">
        <w:rPr>
          <w:sz w:val="20"/>
          <w:szCs w:val="28"/>
        </w:rPr>
        <w:t xml:space="preserve">administrative offices </w:t>
      </w:r>
      <w:r w:rsidR="009A32D7" w:rsidRPr="00182B21">
        <w:rPr>
          <w:sz w:val="20"/>
          <w:szCs w:val="28"/>
        </w:rPr>
        <w:t xml:space="preserve">and training facilities, </w:t>
      </w:r>
      <w:r w:rsidR="00844B3C" w:rsidRPr="00182B21">
        <w:rPr>
          <w:sz w:val="20"/>
          <w:szCs w:val="28"/>
        </w:rPr>
        <w:t>however,</w:t>
      </w:r>
      <w:r w:rsidR="009A32D7" w:rsidRPr="00182B21">
        <w:rPr>
          <w:sz w:val="20"/>
          <w:szCs w:val="28"/>
        </w:rPr>
        <w:t xml:space="preserve"> will require an increased building floor area to accommodate the increased need for training facilities at the subject site. The proposed amendments would correct the planning controls at the subject site to better reflect the </w:t>
      </w:r>
      <w:r w:rsidR="00844B3C" w:rsidRPr="00182B21">
        <w:rPr>
          <w:sz w:val="20"/>
          <w:szCs w:val="28"/>
        </w:rPr>
        <w:t xml:space="preserve">existing uses and character of this area of North Melbourne. </w:t>
      </w:r>
    </w:p>
    <w:p w14:paraId="203B77BA" w14:textId="77777777" w:rsidR="00844B3C" w:rsidRPr="00182B21" w:rsidRDefault="00844B3C" w:rsidP="00706D5D">
      <w:pPr>
        <w:spacing w:before="120" w:line="280" w:lineRule="atLeast"/>
        <w:jc w:val="both"/>
        <w:rPr>
          <w:sz w:val="20"/>
          <w:szCs w:val="28"/>
        </w:rPr>
      </w:pPr>
    </w:p>
    <w:p w14:paraId="24553B52" w14:textId="515D16CF" w:rsidR="00821596" w:rsidRPr="00182B21" w:rsidRDefault="00C63DD1" w:rsidP="00706D5D">
      <w:pPr>
        <w:spacing w:before="120" w:line="280" w:lineRule="atLeast"/>
        <w:jc w:val="both"/>
        <w:rPr>
          <w:sz w:val="20"/>
          <w:szCs w:val="28"/>
        </w:rPr>
      </w:pPr>
      <w:r w:rsidRPr="00182B21">
        <w:rPr>
          <w:sz w:val="20"/>
          <w:szCs w:val="28"/>
        </w:rPr>
        <w:t>T</w:t>
      </w:r>
      <w:r w:rsidR="00821596" w:rsidRPr="00182B21">
        <w:rPr>
          <w:sz w:val="20"/>
          <w:szCs w:val="28"/>
        </w:rPr>
        <w:t xml:space="preserve">he proposed PSA is required to </w:t>
      </w:r>
      <w:r w:rsidR="005B0A40" w:rsidRPr="00182B21">
        <w:rPr>
          <w:sz w:val="20"/>
          <w:szCs w:val="28"/>
        </w:rPr>
        <w:t>facilitate the continued use of site by the ETU</w:t>
      </w:r>
      <w:r w:rsidR="00844B3C" w:rsidRPr="00182B21">
        <w:rPr>
          <w:sz w:val="20"/>
          <w:szCs w:val="28"/>
        </w:rPr>
        <w:t xml:space="preserve"> and </w:t>
      </w:r>
      <w:r w:rsidR="00455833" w:rsidRPr="00182B21">
        <w:rPr>
          <w:sz w:val="20"/>
          <w:szCs w:val="28"/>
        </w:rPr>
        <w:t xml:space="preserve">support its </w:t>
      </w:r>
      <w:r w:rsidR="00844B3C" w:rsidRPr="00182B21">
        <w:rPr>
          <w:sz w:val="20"/>
          <w:szCs w:val="28"/>
        </w:rPr>
        <w:t xml:space="preserve">capacity </w:t>
      </w:r>
      <w:r w:rsidR="005B0A40" w:rsidRPr="00182B21">
        <w:rPr>
          <w:sz w:val="20"/>
          <w:szCs w:val="28"/>
        </w:rPr>
        <w:t xml:space="preserve">to provide various services and facilities which </w:t>
      </w:r>
      <w:r w:rsidR="00844B3C" w:rsidRPr="00182B21">
        <w:rPr>
          <w:sz w:val="20"/>
          <w:szCs w:val="28"/>
        </w:rPr>
        <w:t>achieve a</w:t>
      </w:r>
      <w:r w:rsidR="005B0A40" w:rsidRPr="00182B21">
        <w:rPr>
          <w:sz w:val="20"/>
          <w:szCs w:val="28"/>
        </w:rPr>
        <w:t xml:space="preserve"> net-community benefit for the wider area.  </w:t>
      </w:r>
    </w:p>
    <w:p w14:paraId="269A9BA3" w14:textId="77777777" w:rsidR="00FE013B" w:rsidRPr="00182B21" w:rsidRDefault="00FE013B" w:rsidP="00706D5D">
      <w:pPr>
        <w:spacing w:before="120" w:line="280" w:lineRule="atLeast"/>
        <w:jc w:val="both"/>
        <w:rPr>
          <w:sz w:val="20"/>
          <w:szCs w:val="28"/>
        </w:rPr>
      </w:pPr>
    </w:p>
    <w:p w14:paraId="46CD9CE1" w14:textId="22BDFBA6" w:rsidR="00FE013B" w:rsidRPr="00182B21" w:rsidRDefault="00FE013B" w:rsidP="00706D5D">
      <w:pPr>
        <w:spacing w:before="120" w:line="280" w:lineRule="atLeast"/>
        <w:jc w:val="both"/>
        <w:rPr>
          <w:sz w:val="20"/>
          <w:szCs w:val="28"/>
        </w:rPr>
      </w:pPr>
      <w:r w:rsidRPr="00182B21">
        <w:rPr>
          <w:sz w:val="20"/>
          <w:szCs w:val="28"/>
        </w:rPr>
        <w:t xml:space="preserve">In support of this PSA, an Urban Design Assessment has been included in this report. This Assessment reviews the urban design context and identifies key implications for the site. It does not cover heritage, traffic or other specialist matters that are the domain of other relevant experts. The scope includes review of local area’s physical context and urban design assessment of the proposed development at 200 Arden Street, North Melbourne. </w:t>
      </w:r>
    </w:p>
    <w:p w14:paraId="727B5650" w14:textId="77B656C5" w:rsidR="00844B3C" w:rsidRPr="00844B3C" w:rsidRDefault="00C63591" w:rsidP="00844B3C">
      <w:pPr>
        <w:pStyle w:val="Heading2"/>
      </w:pPr>
      <w:bookmarkStart w:id="12" w:name="_Toc103201853"/>
      <w:bookmarkStart w:id="13" w:name="_Toc152146928"/>
      <w:bookmarkEnd w:id="11"/>
      <w:r w:rsidRPr="00C63591">
        <w:t>Planning Summary</w:t>
      </w:r>
      <w:bookmarkEnd w:id="12"/>
      <w:bookmarkEnd w:id="13"/>
    </w:p>
    <w:p w14:paraId="32115AAB" w14:textId="4F316DE3" w:rsidR="00844B3C" w:rsidRPr="00182B21" w:rsidRDefault="00C63591" w:rsidP="00706D5D">
      <w:pPr>
        <w:spacing w:before="120" w:line="280" w:lineRule="atLeast"/>
        <w:jc w:val="both"/>
        <w:rPr>
          <w:sz w:val="20"/>
          <w:szCs w:val="28"/>
        </w:rPr>
      </w:pPr>
      <w:r w:rsidRPr="00182B21">
        <w:rPr>
          <w:sz w:val="20"/>
          <w:szCs w:val="28"/>
        </w:rPr>
        <w:t xml:space="preserve">The following table provides an overview of the relevant information regarding the </w:t>
      </w:r>
      <w:r w:rsidR="00E00B7F" w:rsidRPr="00182B21">
        <w:rPr>
          <w:sz w:val="20"/>
          <w:szCs w:val="28"/>
        </w:rPr>
        <w:t>PSA</w:t>
      </w:r>
      <w:r w:rsidRPr="00182B21">
        <w:rPr>
          <w:sz w:val="20"/>
          <w:szCs w:val="28"/>
        </w:rPr>
        <w:t xml:space="preserve"> request, including the existing planning scheme policies and controls that apply to the site.</w:t>
      </w:r>
    </w:p>
    <w:p w14:paraId="4D1C8BEE" w14:textId="1DF2E59F" w:rsidR="00C63591" w:rsidRPr="00C63591" w:rsidRDefault="00C63591" w:rsidP="00C63591">
      <w:pPr>
        <w:pStyle w:val="Caption"/>
      </w:pPr>
      <w:bookmarkStart w:id="14" w:name="_Toc82683571"/>
      <w:bookmarkStart w:id="15" w:name="_Toc88575026"/>
      <w:bookmarkStart w:id="16" w:name="_Toc104424975"/>
      <w:bookmarkStart w:id="17" w:name="_Toc149851774"/>
      <w:r w:rsidRPr="00C63591">
        <w:t xml:space="preserve">Table </w:t>
      </w:r>
      <w:fldSimple w:instr=" SEQ Table ">
        <w:r w:rsidR="007F66EC">
          <w:rPr>
            <w:noProof/>
          </w:rPr>
          <w:t>1</w:t>
        </w:r>
      </w:fldSimple>
      <w:r w:rsidRPr="00C63591">
        <w:tab/>
        <w:t>Key planning summary</w:t>
      </w:r>
      <w:bookmarkEnd w:id="14"/>
      <w:bookmarkEnd w:id="15"/>
      <w:bookmarkEnd w:id="16"/>
      <w:bookmarkEnd w:id="17"/>
      <w:r w:rsidRPr="00C63591">
        <w:t xml:space="preserve"> </w:t>
      </w:r>
    </w:p>
    <w:tbl>
      <w:tblPr>
        <w:tblStyle w:val="ETHOSTABLEStandard"/>
        <w:tblW w:w="5000" w:type="pct"/>
        <w:tblLook w:val="06A0" w:firstRow="1" w:lastRow="0" w:firstColumn="1" w:lastColumn="0" w:noHBand="1" w:noVBand="1"/>
      </w:tblPr>
      <w:tblGrid>
        <w:gridCol w:w="4253"/>
        <w:gridCol w:w="5951"/>
      </w:tblGrid>
      <w:tr w:rsidR="00C63591" w:rsidRPr="00C63591" w14:paraId="6AA7CC6D" w14:textId="77777777" w:rsidTr="008C6A3A">
        <w:trPr>
          <w:cnfStyle w:val="100000000000" w:firstRow="1" w:lastRow="0" w:firstColumn="0" w:lastColumn="0" w:oddVBand="0" w:evenVBand="0" w:oddHBand="0" w:evenHBand="0" w:firstRowFirstColumn="0" w:firstRowLastColumn="0" w:lastRowFirstColumn="0" w:lastRowLastColumn="0"/>
          <w:trHeight w:val="206"/>
        </w:trPr>
        <w:tc>
          <w:tcPr>
            <w:tcW w:w="2084" w:type="pct"/>
          </w:tcPr>
          <w:p w14:paraId="5B310C24" w14:textId="77777777" w:rsidR="00C63591" w:rsidRPr="00182B21" w:rsidRDefault="00C63591" w:rsidP="00C63591">
            <w:pPr>
              <w:rPr>
                <w:b/>
                <w:bCs/>
                <w:sz w:val="18"/>
                <w:szCs w:val="26"/>
              </w:rPr>
            </w:pPr>
            <w:r w:rsidRPr="00182B21">
              <w:rPr>
                <w:b/>
                <w:bCs/>
                <w:sz w:val="18"/>
                <w:szCs w:val="26"/>
              </w:rPr>
              <w:t xml:space="preserve">Item </w:t>
            </w:r>
          </w:p>
        </w:tc>
        <w:tc>
          <w:tcPr>
            <w:tcW w:w="2916" w:type="pct"/>
          </w:tcPr>
          <w:p w14:paraId="03ABA363" w14:textId="77777777" w:rsidR="00C63591" w:rsidRPr="00182B21" w:rsidRDefault="00C63591" w:rsidP="00C63591">
            <w:pPr>
              <w:rPr>
                <w:b/>
                <w:bCs/>
                <w:sz w:val="18"/>
                <w:szCs w:val="26"/>
              </w:rPr>
            </w:pPr>
            <w:r w:rsidRPr="00182B21">
              <w:rPr>
                <w:b/>
                <w:bCs/>
                <w:sz w:val="18"/>
                <w:szCs w:val="26"/>
              </w:rPr>
              <w:t xml:space="preserve">Site </w:t>
            </w:r>
          </w:p>
        </w:tc>
      </w:tr>
      <w:tr w:rsidR="00C63591" w:rsidRPr="00C63591" w14:paraId="72A1663F" w14:textId="77777777" w:rsidTr="008C6A3A">
        <w:trPr>
          <w:trHeight w:val="219"/>
        </w:trPr>
        <w:tc>
          <w:tcPr>
            <w:tcW w:w="2084" w:type="pct"/>
          </w:tcPr>
          <w:p w14:paraId="425A6C08" w14:textId="77777777" w:rsidR="00C63591" w:rsidRPr="00182B21" w:rsidRDefault="00C63591" w:rsidP="00C63591">
            <w:pPr>
              <w:pStyle w:val="TableHeading"/>
              <w:rPr>
                <w:sz w:val="18"/>
                <w:szCs w:val="26"/>
              </w:rPr>
            </w:pPr>
            <w:r w:rsidRPr="00182B21">
              <w:rPr>
                <w:sz w:val="18"/>
                <w:szCs w:val="26"/>
              </w:rPr>
              <w:t>Address</w:t>
            </w:r>
          </w:p>
        </w:tc>
        <w:tc>
          <w:tcPr>
            <w:tcW w:w="2916" w:type="pct"/>
          </w:tcPr>
          <w:p w14:paraId="21EF411B" w14:textId="58145D5E" w:rsidR="00C63591" w:rsidRPr="00182B21" w:rsidRDefault="0033510F" w:rsidP="00C63591">
            <w:pPr>
              <w:rPr>
                <w:sz w:val="18"/>
                <w:szCs w:val="26"/>
              </w:rPr>
            </w:pPr>
            <w:r w:rsidRPr="00182B21">
              <w:rPr>
                <w:sz w:val="18"/>
                <w:szCs w:val="26"/>
              </w:rPr>
              <w:t>200 Arden Street, North Melbourne 3051</w:t>
            </w:r>
          </w:p>
        </w:tc>
      </w:tr>
      <w:tr w:rsidR="00C63591" w:rsidRPr="00C63591" w14:paraId="56409BDD" w14:textId="77777777" w:rsidTr="008C6A3A">
        <w:trPr>
          <w:trHeight w:val="219"/>
        </w:trPr>
        <w:tc>
          <w:tcPr>
            <w:tcW w:w="2084" w:type="pct"/>
          </w:tcPr>
          <w:p w14:paraId="34DC7CFE" w14:textId="77777777" w:rsidR="00C63591" w:rsidRPr="00182B21" w:rsidRDefault="00C63591" w:rsidP="00C63591">
            <w:pPr>
              <w:pStyle w:val="TableHeading"/>
              <w:rPr>
                <w:sz w:val="18"/>
                <w:szCs w:val="26"/>
              </w:rPr>
            </w:pPr>
            <w:r w:rsidRPr="00182B21">
              <w:rPr>
                <w:sz w:val="18"/>
                <w:szCs w:val="26"/>
              </w:rPr>
              <w:t>Title</w:t>
            </w:r>
          </w:p>
        </w:tc>
        <w:tc>
          <w:tcPr>
            <w:tcW w:w="2916" w:type="pct"/>
          </w:tcPr>
          <w:p w14:paraId="09B3EABA" w14:textId="5622787D" w:rsidR="00C63591" w:rsidRPr="00182B21" w:rsidRDefault="0033510F" w:rsidP="00C63591">
            <w:pPr>
              <w:rPr>
                <w:sz w:val="18"/>
                <w:szCs w:val="26"/>
              </w:rPr>
            </w:pPr>
            <w:r w:rsidRPr="00182B21">
              <w:rPr>
                <w:sz w:val="18"/>
                <w:szCs w:val="26"/>
              </w:rPr>
              <w:t>2\LP218927</w:t>
            </w:r>
          </w:p>
        </w:tc>
      </w:tr>
      <w:tr w:rsidR="00C63591" w:rsidRPr="00C63591" w14:paraId="0EE6074A" w14:textId="77777777" w:rsidTr="008C6A3A">
        <w:trPr>
          <w:trHeight w:val="228"/>
        </w:trPr>
        <w:tc>
          <w:tcPr>
            <w:tcW w:w="2084" w:type="pct"/>
          </w:tcPr>
          <w:p w14:paraId="07A85344" w14:textId="77777777" w:rsidR="00C63591" w:rsidRPr="00182B21" w:rsidRDefault="00C63591" w:rsidP="00C63591">
            <w:pPr>
              <w:pStyle w:val="TableHeading"/>
              <w:rPr>
                <w:sz w:val="18"/>
                <w:szCs w:val="26"/>
              </w:rPr>
            </w:pPr>
            <w:r w:rsidRPr="00182B21">
              <w:rPr>
                <w:sz w:val="18"/>
                <w:szCs w:val="26"/>
              </w:rPr>
              <w:t>Existing use and development</w:t>
            </w:r>
          </w:p>
        </w:tc>
        <w:tc>
          <w:tcPr>
            <w:tcW w:w="2916" w:type="pct"/>
          </w:tcPr>
          <w:p w14:paraId="5F8F1358" w14:textId="30BB7BFC" w:rsidR="00C63591" w:rsidRPr="00182B21" w:rsidRDefault="0033510F" w:rsidP="00C63591">
            <w:pPr>
              <w:rPr>
                <w:sz w:val="18"/>
                <w:szCs w:val="26"/>
              </w:rPr>
            </w:pPr>
            <w:r w:rsidRPr="00182B21">
              <w:rPr>
                <w:sz w:val="18"/>
                <w:szCs w:val="26"/>
              </w:rPr>
              <w:t xml:space="preserve">Commercial office building </w:t>
            </w:r>
          </w:p>
        </w:tc>
      </w:tr>
      <w:tr w:rsidR="00C63591" w:rsidRPr="00C63591" w14:paraId="50D7A479" w14:textId="77777777" w:rsidTr="008C6A3A">
        <w:trPr>
          <w:trHeight w:val="219"/>
        </w:trPr>
        <w:tc>
          <w:tcPr>
            <w:tcW w:w="2084" w:type="pct"/>
          </w:tcPr>
          <w:p w14:paraId="29B26013" w14:textId="77777777" w:rsidR="00C63591" w:rsidRPr="00182B21" w:rsidRDefault="00C63591" w:rsidP="00C63591">
            <w:pPr>
              <w:pStyle w:val="TableHeading"/>
              <w:rPr>
                <w:sz w:val="18"/>
                <w:szCs w:val="26"/>
              </w:rPr>
            </w:pPr>
            <w:r w:rsidRPr="00182B21">
              <w:rPr>
                <w:sz w:val="18"/>
                <w:szCs w:val="26"/>
              </w:rPr>
              <w:t>Proposed planning scheme amendment</w:t>
            </w:r>
          </w:p>
        </w:tc>
        <w:tc>
          <w:tcPr>
            <w:tcW w:w="2916" w:type="pct"/>
          </w:tcPr>
          <w:p w14:paraId="50EA7435" w14:textId="77777777" w:rsidR="00C63591" w:rsidRPr="00182B21" w:rsidRDefault="0033510F" w:rsidP="00C63591">
            <w:pPr>
              <w:rPr>
                <w:sz w:val="18"/>
                <w:szCs w:val="26"/>
              </w:rPr>
            </w:pPr>
            <w:r w:rsidRPr="00182B21">
              <w:rPr>
                <w:sz w:val="18"/>
                <w:szCs w:val="26"/>
              </w:rPr>
              <w:t>Rezone the subject site from the GRZ to the MUZ</w:t>
            </w:r>
          </w:p>
          <w:p w14:paraId="3B1C899A" w14:textId="35B59BE1" w:rsidR="0033510F" w:rsidRPr="00182B21" w:rsidRDefault="0033510F" w:rsidP="00C63591">
            <w:pPr>
              <w:rPr>
                <w:sz w:val="18"/>
                <w:szCs w:val="26"/>
              </w:rPr>
            </w:pPr>
            <w:bookmarkStart w:id="18" w:name="_Hlk122361287"/>
            <w:r w:rsidRPr="00182B21">
              <w:rPr>
                <w:sz w:val="18"/>
                <w:szCs w:val="26"/>
              </w:rPr>
              <w:t>Apply DDO</w:t>
            </w:r>
            <w:r w:rsidR="00641C56" w:rsidRPr="00182B21">
              <w:rPr>
                <w:sz w:val="18"/>
                <w:szCs w:val="26"/>
              </w:rPr>
              <w:t>84</w:t>
            </w:r>
            <w:r w:rsidRPr="00182B21">
              <w:rPr>
                <w:sz w:val="18"/>
                <w:szCs w:val="26"/>
              </w:rPr>
              <w:t xml:space="preserve"> to the subject site</w:t>
            </w:r>
            <w:bookmarkEnd w:id="18"/>
          </w:p>
        </w:tc>
      </w:tr>
      <w:tr w:rsidR="00C63591" w:rsidRPr="00C63591" w14:paraId="3FCBEAF3" w14:textId="77777777" w:rsidTr="008C6A3A">
        <w:trPr>
          <w:trHeight w:val="228"/>
        </w:trPr>
        <w:tc>
          <w:tcPr>
            <w:tcW w:w="2084" w:type="pct"/>
          </w:tcPr>
          <w:p w14:paraId="7BCD9364" w14:textId="77777777" w:rsidR="00C63591" w:rsidRPr="00182B21" w:rsidRDefault="00C63591" w:rsidP="00C63591">
            <w:pPr>
              <w:pStyle w:val="TableHeading"/>
              <w:rPr>
                <w:sz w:val="18"/>
                <w:szCs w:val="26"/>
              </w:rPr>
            </w:pPr>
            <w:r w:rsidRPr="00182B21">
              <w:rPr>
                <w:sz w:val="18"/>
                <w:szCs w:val="26"/>
              </w:rPr>
              <w:t>Existing Zone</w:t>
            </w:r>
          </w:p>
        </w:tc>
        <w:tc>
          <w:tcPr>
            <w:tcW w:w="2916" w:type="pct"/>
          </w:tcPr>
          <w:p w14:paraId="189C5094" w14:textId="4CC55254" w:rsidR="00C63591" w:rsidRPr="00182B21" w:rsidRDefault="0033510F" w:rsidP="00C63591">
            <w:pPr>
              <w:rPr>
                <w:sz w:val="18"/>
                <w:szCs w:val="26"/>
              </w:rPr>
            </w:pPr>
            <w:r w:rsidRPr="00182B21">
              <w:rPr>
                <w:sz w:val="18"/>
                <w:szCs w:val="26"/>
              </w:rPr>
              <w:t>General Residential Zone – Schedule 1</w:t>
            </w:r>
          </w:p>
        </w:tc>
      </w:tr>
      <w:tr w:rsidR="00C63591" w:rsidRPr="00C63591" w14:paraId="12B110C8" w14:textId="77777777" w:rsidTr="008C6A3A">
        <w:trPr>
          <w:trHeight w:val="219"/>
        </w:trPr>
        <w:tc>
          <w:tcPr>
            <w:tcW w:w="2084" w:type="pct"/>
          </w:tcPr>
          <w:p w14:paraId="0D013410" w14:textId="77777777" w:rsidR="00C63591" w:rsidRPr="00182B21" w:rsidRDefault="00C63591" w:rsidP="00C63591">
            <w:pPr>
              <w:pStyle w:val="TableHeading"/>
              <w:rPr>
                <w:sz w:val="18"/>
                <w:szCs w:val="26"/>
              </w:rPr>
            </w:pPr>
            <w:r w:rsidRPr="00182B21">
              <w:rPr>
                <w:sz w:val="18"/>
                <w:szCs w:val="26"/>
              </w:rPr>
              <w:t>Overlay</w:t>
            </w:r>
          </w:p>
        </w:tc>
        <w:tc>
          <w:tcPr>
            <w:tcW w:w="2916" w:type="pct"/>
          </w:tcPr>
          <w:p w14:paraId="0825D588" w14:textId="77777777" w:rsidR="00C63591" w:rsidRPr="00182B21" w:rsidRDefault="0033510F" w:rsidP="00C63591">
            <w:pPr>
              <w:rPr>
                <w:sz w:val="18"/>
                <w:szCs w:val="26"/>
              </w:rPr>
            </w:pPr>
            <w:r w:rsidRPr="00182B21">
              <w:rPr>
                <w:sz w:val="18"/>
                <w:szCs w:val="26"/>
              </w:rPr>
              <w:t>Heritage Overlay (HO3)</w:t>
            </w:r>
          </w:p>
          <w:p w14:paraId="0236FDBE" w14:textId="021D042D" w:rsidR="0033510F" w:rsidRPr="00182B21" w:rsidRDefault="0033510F" w:rsidP="00C63591">
            <w:pPr>
              <w:rPr>
                <w:sz w:val="18"/>
                <w:szCs w:val="26"/>
              </w:rPr>
            </w:pPr>
            <w:r w:rsidRPr="00182B21">
              <w:rPr>
                <w:sz w:val="18"/>
                <w:szCs w:val="26"/>
              </w:rPr>
              <w:t>Design and Development Overlay – Schedule 66 (DDO66)</w:t>
            </w:r>
          </w:p>
        </w:tc>
      </w:tr>
      <w:tr w:rsidR="00C63591" w:rsidRPr="00C63591" w14:paraId="7899629F" w14:textId="77777777" w:rsidTr="008C6A3A">
        <w:trPr>
          <w:trHeight w:val="228"/>
        </w:trPr>
        <w:tc>
          <w:tcPr>
            <w:tcW w:w="2084" w:type="pct"/>
          </w:tcPr>
          <w:p w14:paraId="2DDD8953" w14:textId="77777777" w:rsidR="00C63591" w:rsidRPr="00182B21" w:rsidRDefault="00C63591" w:rsidP="00C63591">
            <w:pPr>
              <w:pStyle w:val="TableHeading"/>
              <w:rPr>
                <w:sz w:val="18"/>
                <w:szCs w:val="26"/>
              </w:rPr>
            </w:pPr>
            <w:r w:rsidRPr="00182B21">
              <w:rPr>
                <w:sz w:val="18"/>
                <w:szCs w:val="26"/>
              </w:rPr>
              <w:t xml:space="preserve">Other controls </w:t>
            </w:r>
          </w:p>
        </w:tc>
        <w:tc>
          <w:tcPr>
            <w:tcW w:w="2916" w:type="pct"/>
          </w:tcPr>
          <w:p w14:paraId="26E9F644" w14:textId="0B06630D" w:rsidR="00C63591" w:rsidRPr="00182B21" w:rsidRDefault="0033510F" w:rsidP="00C63591">
            <w:pPr>
              <w:rPr>
                <w:sz w:val="18"/>
                <w:szCs w:val="26"/>
              </w:rPr>
            </w:pPr>
            <w:r w:rsidRPr="00182B21">
              <w:rPr>
                <w:sz w:val="18"/>
                <w:szCs w:val="26"/>
              </w:rPr>
              <w:t>Nil</w:t>
            </w:r>
          </w:p>
        </w:tc>
      </w:tr>
      <w:tr w:rsidR="00C63591" w:rsidRPr="00C63591" w14:paraId="34DFFE2B" w14:textId="77777777" w:rsidTr="008C6A3A">
        <w:trPr>
          <w:trHeight w:val="228"/>
        </w:trPr>
        <w:tc>
          <w:tcPr>
            <w:tcW w:w="2084" w:type="pct"/>
          </w:tcPr>
          <w:p w14:paraId="2F695863" w14:textId="77777777" w:rsidR="00C63591" w:rsidRPr="00182B21" w:rsidRDefault="00C63591" w:rsidP="00C63591">
            <w:pPr>
              <w:pStyle w:val="TableHeading"/>
              <w:rPr>
                <w:sz w:val="18"/>
                <w:szCs w:val="26"/>
              </w:rPr>
            </w:pPr>
            <w:r w:rsidRPr="00182B21">
              <w:rPr>
                <w:sz w:val="18"/>
                <w:szCs w:val="26"/>
              </w:rPr>
              <w:t>Planning Policy Framework</w:t>
            </w:r>
          </w:p>
        </w:tc>
        <w:tc>
          <w:tcPr>
            <w:tcW w:w="2916" w:type="pct"/>
          </w:tcPr>
          <w:p w14:paraId="3D7C62F1" w14:textId="34F4B933" w:rsidR="00EA052C" w:rsidRPr="00182B21" w:rsidRDefault="00EA052C" w:rsidP="00C63591">
            <w:pPr>
              <w:rPr>
                <w:sz w:val="18"/>
                <w:szCs w:val="26"/>
              </w:rPr>
            </w:pPr>
            <w:r w:rsidRPr="00182B21">
              <w:rPr>
                <w:sz w:val="18"/>
                <w:szCs w:val="26"/>
              </w:rPr>
              <w:t xml:space="preserve">Clause 11 – Settlement </w:t>
            </w:r>
          </w:p>
          <w:p w14:paraId="2B71AFB2" w14:textId="1E730BFC" w:rsidR="00EA052C" w:rsidRPr="00182B21" w:rsidRDefault="00EA052C" w:rsidP="00C63591">
            <w:pPr>
              <w:rPr>
                <w:sz w:val="18"/>
                <w:szCs w:val="26"/>
              </w:rPr>
            </w:pPr>
            <w:r w:rsidRPr="00182B21">
              <w:rPr>
                <w:sz w:val="18"/>
                <w:szCs w:val="26"/>
              </w:rPr>
              <w:t>Clause 13 – Environmental Risks and Amenity</w:t>
            </w:r>
          </w:p>
          <w:p w14:paraId="3E9F91C0" w14:textId="50DF4A34" w:rsidR="00EA052C" w:rsidRPr="00182B21" w:rsidRDefault="00EA052C" w:rsidP="00C63591">
            <w:pPr>
              <w:rPr>
                <w:sz w:val="18"/>
                <w:szCs w:val="26"/>
              </w:rPr>
            </w:pPr>
            <w:r w:rsidRPr="00182B21">
              <w:rPr>
                <w:sz w:val="18"/>
                <w:szCs w:val="26"/>
              </w:rPr>
              <w:t>Clause 15 – Built Environment and Heritage</w:t>
            </w:r>
          </w:p>
          <w:p w14:paraId="5E973F47" w14:textId="038D1DCC" w:rsidR="00EA052C" w:rsidRPr="00182B21" w:rsidRDefault="00EA052C" w:rsidP="00C63591">
            <w:pPr>
              <w:rPr>
                <w:sz w:val="18"/>
                <w:szCs w:val="26"/>
              </w:rPr>
            </w:pPr>
            <w:r w:rsidRPr="00182B21">
              <w:rPr>
                <w:sz w:val="18"/>
                <w:szCs w:val="26"/>
              </w:rPr>
              <w:t>Clause 17 – Economic Development</w:t>
            </w:r>
          </w:p>
          <w:p w14:paraId="777093B8" w14:textId="20ACEC35" w:rsidR="00EA052C" w:rsidRPr="00182B21" w:rsidRDefault="00EA052C" w:rsidP="00C63591">
            <w:pPr>
              <w:rPr>
                <w:sz w:val="18"/>
                <w:szCs w:val="26"/>
              </w:rPr>
            </w:pPr>
            <w:r w:rsidRPr="00182B21">
              <w:rPr>
                <w:sz w:val="18"/>
                <w:szCs w:val="26"/>
              </w:rPr>
              <w:t xml:space="preserve">Clause 19 </w:t>
            </w:r>
            <w:r w:rsidR="00D877B4" w:rsidRPr="00182B21">
              <w:rPr>
                <w:sz w:val="18"/>
                <w:szCs w:val="26"/>
              </w:rPr>
              <w:t>–</w:t>
            </w:r>
            <w:r w:rsidRPr="00182B21">
              <w:rPr>
                <w:sz w:val="18"/>
                <w:szCs w:val="26"/>
              </w:rPr>
              <w:t xml:space="preserve"> Infrastructure</w:t>
            </w:r>
          </w:p>
        </w:tc>
      </w:tr>
      <w:tr w:rsidR="00C63591" w:rsidRPr="00C63591" w14:paraId="2A21058C" w14:textId="77777777" w:rsidTr="008C6A3A">
        <w:trPr>
          <w:trHeight w:val="228"/>
        </w:trPr>
        <w:tc>
          <w:tcPr>
            <w:tcW w:w="2084" w:type="pct"/>
          </w:tcPr>
          <w:p w14:paraId="5E21DEB2" w14:textId="77777777" w:rsidR="00C63591" w:rsidRPr="00182B21" w:rsidRDefault="00C63591" w:rsidP="00C63591">
            <w:pPr>
              <w:pStyle w:val="TableHeading"/>
              <w:rPr>
                <w:sz w:val="18"/>
                <w:szCs w:val="26"/>
              </w:rPr>
            </w:pPr>
            <w:r w:rsidRPr="00182B21">
              <w:rPr>
                <w:sz w:val="18"/>
                <w:szCs w:val="26"/>
              </w:rPr>
              <w:t>Restrictive covenants &amp; easements</w:t>
            </w:r>
          </w:p>
        </w:tc>
        <w:tc>
          <w:tcPr>
            <w:tcW w:w="2916" w:type="pct"/>
          </w:tcPr>
          <w:p w14:paraId="54694647" w14:textId="77777777" w:rsidR="00C63591" w:rsidRPr="00182B21" w:rsidRDefault="00C63591" w:rsidP="00C63591">
            <w:pPr>
              <w:rPr>
                <w:sz w:val="18"/>
                <w:szCs w:val="26"/>
              </w:rPr>
            </w:pPr>
            <w:r w:rsidRPr="00182B21">
              <w:rPr>
                <w:sz w:val="18"/>
                <w:szCs w:val="26"/>
              </w:rPr>
              <w:t>Caveat - AH566090F</w:t>
            </w:r>
          </w:p>
          <w:p w14:paraId="65B9F60C" w14:textId="77777777" w:rsidR="00C63591" w:rsidRPr="00182B21" w:rsidRDefault="00C63591" w:rsidP="00C63591">
            <w:pPr>
              <w:rPr>
                <w:sz w:val="18"/>
                <w:szCs w:val="26"/>
              </w:rPr>
            </w:pPr>
            <w:r w:rsidRPr="00182B21">
              <w:rPr>
                <w:sz w:val="18"/>
                <w:szCs w:val="26"/>
              </w:rPr>
              <w:lastRenderedPageBreak/>
              <w:t>S173 - AE133430A</w:t>
            </w:r>
          </w:p>
        </w:tc>
      </w:tr>
    </w:tbl>
    <w:p w14:paraId="2BDAF1F3" w14:textId="77777777" w:rsidR="00C63591" w:rsidRDefault="00C63591" w:rsidP="00C63591">
      <w:pPr>
        <w:pStyle w:val="Heading2"/>
      </w:pPr>
      <w:bookmarkStart w:id="19" w:name="_Toc103201854"/>
      <w:bookmarkStart w:id="20" w:name="_Toc152146929"/>
      <w:r w:rsidRPr="00C63591">
        <w:lastRenderedPageBreak/>
        <w:t>Consultation</w:t>
      </w:r>
      <w:bookmarkEnd w:id="19"/>
      <w:bookmarkEnd w:id="20"/>
    </w:p>
    <w:p w14:paraId="1124EA8F" w14:textId="6193CFAA" w:rsidR="00641C56" w:rsidRPr="00182B21" w:rsidRDefault="006A310D" w:rsidP="00706D5D">
      <w:pPr>
        <w:spacing w:before="120" w:line="280" w:lineRule="atLeast"/>
        <w:jc w:val="both"/>
        <w:rPr>
          <w:sz w:val="20"/>
          <w:szCs w:val="28"/>
        </w:rPr>
      </w:pPr>
      <w:r w:rsidRPr="00182B21">
        <w:rPr>
          <w:sz w:val="20"/>
          <w:szCs w:val="28"/>
        </w:rPr>
        <w:t xml:space="preserve">On behalf </w:t>
      </w:r>
      <w:r w:rsidR="00FC3DFD" w:rsidRPr="00182B21">
        <w:rPr>
          <w:sz w:val="20"/>
          <w:szCs w:val="28"/>
        </w:rPr>
        <w:t xml:space="preserve">of </w:t>
      </w:r>
      <w:r w:rsidRPr="00182B21">
        <w:rPr>
          <w:sz w:val="20"/>
          <w:szCs w:val="28"/>
        </w:rPr>
        <w:t xml:space="preserve">the ETU, </w:t>
      </w:r>
      <w:r w:rsidR="00DB4A4D" w:rsidRPr="00182B21">
        <w:rPr>
          <w:sz w:val="20"/>
          <w:szCs w:val="28"/>
        </w:rPr>
        <w:t xml:space="preserve">Ethos Urban </w:t>
      </w:r>
      <w:r w:rsidRPr="00182B21">
        <w:rPr>
          <w:sz w:val="20"/>
          <w:szCs w:val="28"/>
        </w:rPr>
        <w:t xml:space="preserve">have been engaging with the City of Melbourne </w:t>
      </w:r>
      <w:r w:rsidR="00313A7D" w:rsidRPr="00182B21">
        <w:rPr>
          <w:sz w:val="20"/>
          <w:szCs w:val="28"/>
        </w:rPr>
        <w:t xml:space="preserve">(CoM) Council </w:t>
      </w:r>
      <w:r w:rsidRPr="00182B21">
        <w:rPr>
          <w:sz w:val="20"/>
          <w:szCs w:val="28"/>
        </w:rPr>
        <w:t>and</w:t>
      </w:r>
      <w:r w:rsidR="002A1821" w:rsidRPr="00182B21">
        <w:rPr>
          <w:sz w:val="20"/>
          <w:szCs w:val="28"/>
        </w:rPr>
        <w:t xml:space="preserve"> various </w:t>
      </w:r>
      <w:r w:rsidRPr="00182B21">
        <w:rPr>
          <w:sz w:val="20"/>
          <w:szCs w:val="28"/>
        </w:rPr>
        <w:t xml:space="preserve">stakeholders </w:t>
      </w:r>
      <w:r w:rsidR="00455833" w:rsidRPr="00182B21">
        <w:rPr>
          <w:sz w:val="20"/>
          <w:szCs w:val="28"/>
        </w:rPr>
        <w:t>including Victorian Planning Authority (VPA) and Department of Families, Fairness and Housing (DFFH)</w:t>
      </w:r>
      <w:r w:rsidR="00D0740D" w:rsidRPr="00182B21">
        <w:rPr>
          <w:sz w:val="20"/>
          <w:szCs w:val="28"/>
        </w:rPr>
        <w:t xml:space="preserve"> </w:t>
      </w:r>
      <w:r w:rsidRPr="00182B21">
        <w:rPr>
          <w:sz w:val="20"/>
          <w:szCs w:val="28"/>
        </w:rPr>
        <w:t>since 2019 in</w:t>
      </w:r>
      <w:r w:rsidR="00C360B5" w:rsidRPr="00182B21">
        <w:rPr>
          <w:sz w:val="20"/>
          <w:szCs w:val="28"/>
        </w:rPr>
        <w:t xml:space="preserve"> relation to the future redevelopment opportunities, and the anomalous zoning that applies to the site.</w:t>
      </w:r>
    </w:p>
    <w:p w14:paraId="35F1D612" w14:textId="19AE4104" w:rsidR="006A310D" w:rsidRPr="00706D5D" w:rsidRDefault="006A310D" w:rsidP="00706D5D">
      <w:pPr>
        <w:spacing w:before="120" w:line="280" w:lineRule="atLeast"/>
        <w:jc w:val="both"/>
        <w:rPr>
          <w:sz w:val="20"/>
          <w:szCs w:val="28"/>
        </w:rPr>
      </w:pPr>
    </w:p>
    <w:p w14:paraId="6E192F89" w14:textId="419594CA" w:rsidR="00B15189" w:rsidRPr="00182B21" w:rsidRDefault="00DB4A4D" w:rsidP="00706D5D">
      <w:pPr>
        <w:spacing w:before="120" w:line="280" w:lineRule="atLeast"/>
        <w:jc w:val="both"/>
        <w:rPr>
          <w:sz w:val="20"/>
          <w:szCs w:val="28"/>
        </w:rPr>
      </w:pPr>
      <w:r w:rsidRPr="00182B21">
        <w:rPr>
          <w:sz w:val="20"/>
          <w:szCs w:val="28"/>
        </w:rPr>
        <w:t>The</w:t>
      </w:r>
      <w:r w:rsidR="002A1821" w:rsidRPr="00182B21">
        <w:rPr>
          <w:sz w:val="20"/>
          <w:szCs w:val="28"/>
        </w:rPr>
        <w:t xml:space="preserve"> first engagement with </w:t>
      </w:r>
      <w:r w:rsidR="00313A7D" w:rsidRPr="00182B21">
        <w:rPr>
          <w:sz w:val="20"/>
          <w:szCs w:val="28"/>
        </w:rPr>
        <w:t xml:space="preserve">CoM </w:t>
      </w:r>
      <w:r w:rsidR="002A1821" w:rsidRPr="00182B21">
        <w:rPr>
          <w:sz w:val="20"/>
          <w:szCs w:val="28"/>
        </w:rPr>
        <w:t>was via a meeting</w:t>
      </w:r>
      <w:r w:rsidR="006A310D" w:rsidRPr="00182B21">
        <w:rPr>
          <w:sz w:val="20"/>
          <w:szCs w:val="28"/>
        </w:rPr>
        <w:t xml:space="preserve"> held on 11 November 2019</w:t>
      </w:r>
      <w:r w:rsidR="002A1821" w:rsidRPr="00182B21">
        <w:rPr>
          <w:sz w:val="20"/>
          <w:szCs w:val="28"/>
        </w:rPr>
        <w:t>. The primary focus of the meeting and discussions related to the</w:t>
      </w:r>
      <w:r w:rsidR="00B15189" w:rsidRPr="00182B21">
        <w:rPr>
          <w:sz w:val="20"/>
          <w:szCs w:val="28"/>
        </w:rPr>
        <w:t xml:space="preserve"> emerging</w:t>
      </w:r>
      <w:r w:rsidR="002A1821" w:rsidRPr="00182B21">
        <w:rPr>
          <w:sz w:val="20"/>
          <w:szCs w:val="28"/>
        </w:rPr>
        <w:t xml:space="preserve"> </w:t>
      </w:r>
      <w:r w:rsidR="006A310D" w:rsidRPr="00182B21">
        <w:rPr>
          <w:sz w:val="20"/>
          <w:szCs w:val="28"/>
        </w:rPr>
        <w:t xml:space="preserve">Arden Urban Renewal </w:t>
      </w:r>
      <w:r w:rsidR="002A1821" w:rsidRPr="00182B21">
        <w:rPr>
          <w:sz w:val="20"/>
          <w:szCs w:val="28"/>
        </w:rPr>
        <w:t>Precinct</w:t>
      </w:r>
      <w:r w:rsidR="006A310D" w:rsidRPr="00182B21">
        <w:rPr>
          <w:sz w:val="20"/>
          <w:szCs w:val="28"/>
        </w:rPr>
        <w:t>,</w:t>
      </w:r>
      <w:r w:rsidR="002A1821" w:rsidRPr="00182B21">
        <w:rPr>
          <w:sz w:val="20"/>
          <w:szCs w:val="28"/>
        </w:rPr>
        <w:t xml:space="preserve"> </w:t>
      </w:r>
      <w:r w:rsidR="007A6528" w:rsidRPr="00182B21">
        <w:rPr>
          <w:sz w:val="20"/>
          <w:szCs w:val="28"/>
        </w:rPr>
        <w:t xml:space="preserve">which was part of the </w:t>
      </w:r>
      <w:r w:rsidR="006A310D" w:rsidRPr="00182B21">
        <w:rPr>
          <w:sz w:val="20"/>
          <w:szCs w:val="28"/>
        </w:rPr>
        <w:t xml:space="preserve">Arden </w:t>
      </w:r>
      <w:r w:rsidR="00296D17" w:rsidRPr="00182B21">
        <w:rPr>
          <w:sz w:val="20"/>
          <w:szCs w:val="28"/>
        </w:rPr>
        <w:t>Structure Plan</w:t>
      </w:r>
      <w:r w:rsidR="007A6528" w:rsidRPr="00182B21">
        <w:rPr>
          <w:sz w:val="20"/>
          <w:szCs w:val="28"/>
        </w:rPr>
        <w:t xml:space="preserve"> </w:t>
      </w:r>
      <w:r w:rsidR="006A310D" w:rsidRPr="00182B21">
        <w:rPr>
          <w:sz w:val="20"/>
          <w:szCs w:val="28"/>
        </w:rPr>
        <w:t>process that was being undertaken</w:t>
      </w:r>
      <w:r w:rsidR="002A1821" w:rsidRPr="00182B21">
        <w:rPr>
          <w:sz w:val="20"/>
          <w:szCs w:val="28"/>
        </w:rPr>
        <w:t xml:space="preserve">. </w:t>
      </w:r>
      <w:r w:rsidR="006258B0" w:rsidRPr="00182B21">
        <w:rPr>
          <w:sz w:val="20"/>
          <w:szCs w:val="28"/>
        </w:rPr>
        <w:t xml:space="preserve"> </w:t>
      </w:r>
      <w:r w:rsidRPr="00182B21">
        <w:rPr>
          <w:sz w:val="20"/>
          <w:szCs w:val="28"/>
        </w:rPr>
        <w:t>ETU</w:t>
      </w:r>
      <w:r w:rsidR="002A1821" w:rsidRPr="00182B21">
        <w:rPr>
          <w:sz w:val="20"/>
          <w:szCs w:val="28"/>
        </w:rPr>
        <w:t xml:space="preserve"> requested the Council consider </w:t>
      </w:r>
      <w:r w:rsidR="00C46CD5" w:rsidRPr="00182B21">
        <w:rPr>
          <w:sz w:val="20"/>
          <w:szCs w:val="28"/>
        </w:rPr>
        <w:t xml:space="preserve">including 200 Arden Street </w:t>
      </w:r>
      <w:r w:rsidR="002A1821" w:rsidRPr="00182B21">
        <w:rPr>
          <w:sz w:val="20"/>
          <w:szCs w:val="28"/>
        </w:rPr>
        <w:t>site into the Renewal Precinct</w:t>
      </w:r>
      <w:r w:rsidR="006258B0" w:rsidRPr="00182B21">
        <w:rPr>
          <w:sz w:val="20"/>
          <w:szCs w:val="28"/>
        </w:rPr>
        <w:t xml:space="preserve"> as part of a formal submission made on 9 August 2020. </w:t>
      </w:r>
    </w:p>
    <w:p w14:paraId="0978E481" w14:textId="77777777" w:rsidR="00B15189" w:rsidRPr="00182B21" w:rsidRDefault="00B15189" w:rsidP="00706D5D">
      <w:pPr>
        <w:spacing w:before="120" w:line="280" w:lineRule="atLeast"/>
        <w:jc w:val="both"/>
        <w:rPr>
          <w:sz w:val="20"/>
          <w:szCs w:val="28"/>
        </w:rPr>
      </w:pPr>
    </w:p>
    <w:p w14:paraId="34774B05" w14:textId="674763BF" w:rsidR="006258B0" w:rsidRPr="00182B21" w:rsidRDefault="00DB4A4D" w:rsidP="00706D5D">
      <w:pPr>
        <w:spacing w:before="120" w:line="280" w:lineRule="atLeast"/>
        <w:jc w:val="both"/>
        <w:rPr>
          <w:sz w:val="20"/>
          <w:szCs w:val="28"/>
        </w:rPr>
      </w:pPr>
      <w:r w:rsidRPr="00182B21">
        <w:rPr>
          <w:sz w:val="20"/>
          <w:szCs w:val="28"/>
        </w:rPr>
        <w:t>VPA provided</w:t>
      </w:r>
      <w:r w:rsidR="00E1566C" w:rsidRPr="00182B21">
        <w:rPr>
          <w:sz w:val="20"/>
          <w:szCs w:val="28"/>
        </w:rPr>
        <w:t xml:space="preserve"> written correspondence on 22 February 2021 in which </w:t>
      </w:r>
      <w:r w:rsidRPr="00182B21">
        <w:rPr>
          <w:sz w:val="20"/>
          <w:szCs w:val="28"/>
        </w:rPr>
        <w:t>it</w:t>
      </w:r>
      <w:r w:rsidR="00E1566C" w:rsidRPr="00182B21">
        <w:rPr>
          <w:sz w:val="20"/>
          <w:szCs w:val="28"/>
        </w:rPr>
        <w:t xml:space="preserve"> confirmed </w:t>
      </w:r>
      <w:r w:rsidRPr="00182B21">
        <w:rPr>
          <w:sz w:val="20"/>
          <w:szCs w:val="28"/>
        </w:rPr>
        <w:t>it</w:t>
      </w:r>
      <w:r w:rsidR="00E1566C" w:rsidRPr="00182B21">
        <w:rPr>
          <w:sz w:val="20"/>
          <w:szCs w:val="28"/>
        </w:rPr>
        <w:t xml:space="preserve"> would not </w:t>
      </w:r>
      <w:r w:rsidR="006258B0" w:rsidRPr="00182B21">
        <w:rPr>
          <w:sz w:val="20"/>
          <w:szCs w:val="28"/>
        </w:rPr>
        <w:t xml:space="preserve">extend the Renewal Precinct to include 200 Arden Street as </w:t>
      </w:r>
      <w:r w:rsidRPr="00182B21">
        <w:rPr>
          <w:sz w:val="20"/>
          <w:szCs w:val="28"/>
        </w:rPr>
        <w:t>it</w:t>
      </w:r>
      <w:r w:rsidR="00E1566C" w:rsidRPr="00182B21">
        <w:rPr>
          <w:sz w:val="20"/>
          <w:szCs w:val="28"/>
        </w:rPr>
        <w:t xml:space="preserve"> </w:t>
      </w:r>
      <w:r w:rsidR="006258B0" w:rsidRPr="00182B21">
        <w:rPr>
          <w:sz w:val="20"/>
          <w:szCs w:val="28"/>
        </w:rPr>
        <w:t xml:space="preserve">had identified additional work would be required to consider the site within any future </w:t>
      </w:r>
      <w:r w:rsidR="00E00B7F" w:rsidRPr="00182B21">
        <w:rPr>
          <w:sz w:val="20"/>
          <w:szCs w:val="28"/>
        </w:rPr>
        <w:t>PSA</w:t>
      </w:r>
      <w:r w:rsidR="006258B0" w:rsidRPr="00182B21">
        <w:rPr>
          <w:sz w:val="20"/>
          <w:szCs w:val="28"/>
        </w:rPr>
        <w:t xml:space="preserve"> for Arden</w:t>
      </w:r>
      <w:r w:rsidRPr="00182B21">
        <w:rPr>
          <w:sz w:val="20"/>
          <w:szCs w:val="28"/>
        </w:rPr>
        <w:t xml:space="preserve">. VPA expected this </w:t>
      </w:r>
      <w:r w:rsidR="006258B0" w:rsidRPr="00182B21">
        <w:rPr>
          <w:sz w:val="20"/>
          <w:szCs w:val="28"/>
        </w:rPr>
        <w:t xml:space="preserve">would have included changes to the detailed modelling and technical assessments prepared for drainage, </w:t>
      </w:r>
      <w:r w:rsidR="00E36A4D" w:rsidRPr="00182B21">
        <w:rPr>
          <w:sz w:val="20"/>
          <w:szCs w:val="28"/>
        </w:rPr>
        <w:t>transport,</w:t>
      </w:r>
      <w:r w:rsidR="006258B0" w:rsidRPr="00182B21">
        <w:rPr>
          <w:sz w:val="20"/>
          <w:szCs w:val="28"/>
        </w:rPr>
        <w:t xml:space="preserve"> and the built form. </w:t>
      </w:r>
    </w:p>
    <w:p w14:paraId="1A16ED42" w14:textId="7A6666C1" w:rsidR="002A1821" w:rsidRPr="00706D5D" w:rsidRDefault="002A1821" w:rsidP="00706D5D">
      <w:pPr>
        <w:spacing w:before="120" w:line="280" w:lineRule="atLeast"/>
        <w:jc w:val="both"/>
        <w:rPr>
          <w:sz w:val="20"/>
          <w:szCs w:val="28"/>
        </w:rPr>
      </w:pPr>
    </w:p>
    <w:p w14:paraId="30016654" w14:textId="499CE72E" w:rsidR="00455833" w:rsidRPr="00182B21" w:rsidRDefault="00DB4A4D" w:rsidP="00706D5D">
      <w:pPr>
        <w:spacing w:before="120" w:line="280" w:lineRule="atLeast"/>
        <w:jc w:val="both"/>
        <w:rPr>
          <w:sz w:val="20"/>
          <w:szCs w:val="28"/>
        </w:rPr>
      </w:pPr>
      <w:r w:rsidRPr="00182B21">
        <w:rPr>
          <w:sz w:val="20"/>
          <w:szCs w:val="28"/>
        </w:rPr>
        <w:t>Ethos Urban</w:t>
      </w:r>
      <w:r w:rsidR="00B11AC4" w:rsidRPr="00182B21">
        <w:rPr>
          <w:sz w:val="20"/>
          <w:szCs w:val="28"/>
        </w:rPr>
        <w:t xml:space="preserve"> then met with </w:t>
      </w:r>
      <w:r w:rsidR="00313A7D" w:rsidRPr="00182B21">
        <w:rPr>
          <w:sz w:val="20"/>
          <w:szCs w:val="28"/>
        </w:rPr>
        <w:t>CoM</w:t>
      </w:r>
      <w:r w:rsidR="00B11AC4" w:rsidRPr="00182B21">
        <w:rPr>
          <w:sz w:val="20"/>
          <w:szCs w:val="28"/>
        </w:rPr>
        <w:t xml:space="preserve"> for a second time </w:t>
      </w:r>
      <w:r w:rsidR="00313A7D" w:rsidRPr="00182B21">
        <w:rPr>
          <w:sz w:val="20"/>
          <w:szCs w:val="28"/>
        </w:rPr>
        <w:t>in February</w:t>
      </w:r>
      <w:r w:rsidR="00B11AC4" w:rsidRPr="00182B21">
        <w:rPr>
          <w:sz w:val="20"/>
          <w:szCs w:val="28"/>
        </w:rPr>
        <w:t xml:space="preserve"> 2021 in which we undertook discussions with Robyn </w:t>
      </w:r>
      <w:r w:rsidR="00177460" w:rsidRPr="00182B21">
        <w:rPr>
          <w:sz w:val="20"/>
          <w:szCs w:val="28"/>
        </w:rPr>
        <w:t>Hellman.</w:t>
      </w:r>
      <w:r w:rsidR="00B15189" w:rsidRPr="00182B21">
        <w:rPr>
          <w:sz w:val="20"/>
          <w:szCs w:val="28"/>
        </w:rPr>
        <w:t xml:space="preserve"> The key matter </w:t>
      </w:r>
      <w:r w:rsidR="00B11AC4" w:rsidRPr="00182B21">
        <w:rPr>
          <w:sz w:val="20"/>
          <w:szCs w:val="28"/>
        </w:rPr>
        <w:t xml:space="preserve">discussed </w:t>
      </w:r>
      <w:r w:rsidR="00B15189" w:rsidRPr="00182B21">
        <w:rPr>
          <w:sz w:val="20"/>
          <w:szCs w:val="28"/>
        </w:rPr>
        <w:t xml:space="preserve">was the </w:t>
      </w:r>
      <w:r w:rsidR="00B11AC4" w:rsidRPr="00182B21">
        <w:rPr>
          <w:sz w:val="20"/>
          <w:szCs w:val="28"/>
        </w:rPr>
        <w:t>principle of the re-zoning, along with the ETU’s long-term intentions/aspirations for the site.</w:t>
      </w:r>
      <w:r w:rsidR="00A07F62" w:rsidRPr="00182B21">
        <w:rPr>
          <w:sz w:val="20"/>
          <w:szCs w:val="28"/>
        </w:rPr>
        <w:t xml:space="preserve"> </w:t>
      </w:r>
    </w:p>
    <w:p w14:paraId="4DC6C3BC" w14:textId="77777777" w:rsidR="00455833" w:rsidRPr="00182B21" w:rsidRDefault="00455833" w:rsidP="002E7413">
      <w:pPr>
        <w:rPr>
          <w:sz w:val="20"/>
          <w:szCs w:val="28"/>
        </w:rPr>
      </w:pPr>
    </w:p>
    <w:p w14:paraId="3A2E2816" w14:textId="5A7B7866" w:rsidR="002E7413" w:rsidRPr="00182B21" w:rsidRDefault="00C16E56" w:rsidP="002E7413">
      <w:pPr>
        <w:rPr>
          <w:sz w:val="20"/>
          <w:szCs w:val="28"/>
        </w:rPr>
      </w:pPr>
      <w:r w:rsidRPr="00182B21">
        <w:rPr>
          <w:sz w:val="20"/>
          <w:szCs w:val="28"/>
        </w:rPr>
        <w:t>Following the meeting</w:t>
      </w:r>
      <w:r w:rsidR="004B3508" w:rsidRPr="00182B21">
        <w:rPr>
          <w:sz w:val="20"/>
          <w:szCs w:val="28"/>
        </w:rPr>
        <w:t>,</w:t>
      </w:r>
      <w:r w:rsidRPr="00182B21">
        <w:rPr>
          <w:sz w:val="20"/>
          <w:szCs w:val="28"/>
        </w:rPr>
        <w:t xml:space="preserve"> CoM provided a written response </w:t>
      </w:r>
      <w:r w:rsidR="004B3508" w:rsidRPr="00182B21">
        <w:rPr>
          <w:sz w:val="20"/>
          <w:szCs w:val="28"/>
        </w:rPr>
        <w:t xml:space="preserve">covering the key matters discussed. We have </w:t>
      </w:r>
      <w:r w:rsidR="00A07F62" w:rsidRPr="00182B21">
        <w:rPr>
          <w:sz w:val="20"/>
          <w:szCs w:val="28"/>
        </w:rPr>
        <w:t xml:space="preserve">summarised </w:t>
      </w:r>
      <w:r w:rsidR="004B3508" w:rsidRPr="00182B21">
        <w:rPr>
          <w:sz w:val="20"/>
          <w:szCs w:val="28"/>
        </w:rPr>
        <w:t xml:space="preserve">the feedback </w:t>
      </w:r>
      <w:r w:rsidR="00A07F62" w:rsidRPr="00182B21">
        <w:rPr>
          <w:sz w:val="20"/>
          <w:szCs w:val="28"/>
        </w:rPr>
        <w:t xml:space="preserve">as follows: </w:t>
      </w:r>
    </w:p>
    <w:p w14:paraId="73C239CE" w14:textId="321CD2FE" w:rsidR="00BD2700" w:rsidRPr="00706D5D" w:rsidRDefault="00BD2700" w:rsidP="00706D5D">
      <w:pPr>
        <w:pStyle w:val="ESNumberedBullet1"/>
        <w:spacing w:before="120" w:line="280" w:lineRule="atLeast"/>
        <w:rPr>
          <w:i/>
          <w:iCs/>
          <w:sz w:val="20"/>
          <w:szCs w:val="28"/>
        </w:rPr>
      </w:pPr>
      <w:r w:rsidRPr="00706D5D">
        <w:rPr>
          <w:i/>
          <w:iCs/>
          <w:sz w:val="20"/>
          <w:szCs w:val="28"/>
        </w:rPr>
        <w:t xml:space="preserve">Principle of re-zoning was acceptable. </w:t>
      </w:r>
    </w:p>
    <w:p w14:paraId="1AF46768" w14:textId="5C31233E" w:rsidR="00BD2700" w:rsidRPr="00706D5D" w:rsidRDefault="00BD2700" w:rsidP="00706D5D">
      <w:pPr>
        <w:pStyle w:val="ESNumberedBullet1"/>
        <w:spacing w:before="120" w:line="280" w:lineRule="atLeast"/>
        <w:rPr>
          <w:i/>
          <w:iCs/>
          <w:sz w:val="20"/>
          <w:szCs w:val="28"/>
        </w:rPr>
      </w:pPr>
      <w:r w:rsidRPr="00706D5D">
        <w:rPr>
          <w:i/>
          <w:iCs/>
          <w:sz w:val="20"/>
          <w:szCs w:val="28"/>
        </w:rPr>
        <w:t xml:space="preserve">Would like to ensure height is controlled (although there are currently no controls in respect of height) </w:t>
      </w:r>
    </w:p>
    <w:p w14:paraId="4AA59130" w14:textId="29B9B982" w:rsidR="00BD2700" w:rsidRPr="00706D5D" w:rsidRDefault="00BD2700" w:rsidP="00706D5D">
      <w:pPr>
        <w:pStyle w:val="ESNumberedBullet1"/>
        <w:spacing w:before="120" w:line="280" w:lineRule="atLeast"/>
        <w:rPr>
          <w:i/>
          <w:iCs/>
          <w:sz w:val="20"/>
          <w:szCs w:val="28"/>
        </w:rPr>
      </w:pPr>
      <w:r w:rsidRPr="00706D5D">
        <w:rPr>
          <w:i/>
          <w:iCs/>
          <w:sz w:val="20"/>
          <w:szCs w:val="28"/>
        </w:rPr>
        <w:t>Suggested that DDO32 is extended, to include the site, rather than creating a new DDO which was site-specific.</w:t>
      </w:r>
    </w:p>
    <w:p w14:paraId="63FCE60F" w14:textId="544E5784" w:rsidR="00BD2700" w:rsidRPr="00182B21" w:rsidRDefault="00313A7D" w:rsidP="00706D5D">
      <w:pPr>
        <w:spacing w:before="120" w:line="280" w:lineRule="atLeast"/>
        <w:jc w:val="both"/>
        <w:rPr>
          <w:sz w:val="20"/>
          <w:szCs w:val="28"/>
        </w:rPr>
      </w:pPr>
      <w:r w:rsidRPr="00182B21">
        <w:rPr>
          <w:sz w:val="20"/>
          <w:szCs w:val="28"/>
        </w:rPr>
        <w:t>CoM</w:t>
      </w:r>
      <w:r w:rsidR="006258B0" w:rsidRPr="00182B21">
        <w:rPr>
          <w:sz w:val="20"/>
          <w:szCs w:val="28"/>
        </w:rPr>
        <w:t xml:space="preserve"> also liaised with the DELWP who provided comments on the proposed re-zoning. </w:t>
      </w:r>
      <w:r w:rsidR="007A6528" w:rsidRPr="00182B21">
        <w:rPr>
          <w:sz w:val="20"/>
          <w:szCs w:val="28"/>
        </w:rPr>
        <w:t>The</w:t>
      </w:r>
      <w:r w:rsidR="006258B0" w:rsidRPr="00182B21">
        <w:rPr>
          <w:sz w:val="20"/>
          <w:szCs w:val="28"/>
        </w:rPr>
        <w:t xml:space="preserve"> comments received from DELWP highlighted some </w:t>
      </w:r>
      <w:r w:rsidR="00B15189" w:rsidRPr="00182B21">
        <w:rPr>
          <w:sz w:val="20"/>
          <w:szCs w:val="28"/>
        </w:rPr>
        <w:t>additional matters</w:t>
      </w:r>
      <w:r w:rsidR="006258B0" w:rsidRPr="00182B21">
        <w:rPr>
          <w:sz w:val="20"/>
          <w:szCs w:val="28"/>
        </w:rPr>
        <w:t xml:space="preserve"> to consider, however</w:t>
      </w:r>
      <w:r w:rsidR="004B3508" w:rsidRPr="00182B21">
        <w:rPr>
          <w:sz w:val="20"/>
          <w:szCs w:val="28"/>
        </w:rPr>
        <w:t>,</w:t>
      </w:r>
      <w:r w:rsidR="006258B0" w:rsidRPr="00182B21">
        <w:rPr>
          <w:sz w:val="20"/>
          <w:szCs w:val="28"/>
        </w:rPr>
        <w:t xml:space="preserve"> </w:t>
      </w:r>
      <w:r w:rsidR="00E36A4D" w:rsidRPr="00182B21">
        <w:rPr>
          <w:sz w:val="20"/>
          <w:szCs w:val="28"/>
        </w:rPr>
        <w:t xml:space="preserve">there were no significant concerns raised </w:t>
      </w:r>
      <w:r w:rsidR="006258B0" w:rsidRPr="00182B21">
        <w:rPr>
          <w:sz w:val="20"/>
          <w:szCs w:val="28"/>
        </w:rPr>
        <w:t xml:space="preserve">in respect of the re-zoning of the </w:t>
      </w:r>
      <w:r w:rsidR="00B15189" w:rsidRPr="00182B21">
        <w:rPr>
          <w:sz w:val="20"/>
          <w:szCs w:val="28"/>
        </w:rPr>
        <w:t>site.</w:t>
      </w:r>
      <w:r w:rsidR="006258B0" w:rsidRPr="00182B21">
        <w:rPr>
          <w:sz w:val="20"/>
          <w:szCs w:val="28"/>
        </w:rPr>
        <w:t xml:space="preserve"> </w:t>
      </w:r>
      <w:r w:rsidR="00BD2700" w:rsidRPr="00182B21">
        <w:rPr>
          <w:sz w:val="20"/>
          <w:szCs w:val="28"/>
        </w:rPr>
        <w:t xml:space="preserve"> </w:t>
      </w:r>
      <w:r w:rsidR="00956AD6" w:rsidRPr="00182B21">
        <w:rPr>
          <w:sz w:val="20"/>
          <w:szCs w:val="28"/>
        </w:rPr>
        <w:t xml:space="preserve">The anomalous zoning of the site as GRZ despite its historical and on-going industrial and commercial use was recognised by CoM and DELWP. </w:t>
      </w:r>
      <w:r w:rsidR="00BD2700" w:rsidRPr="00182B21">
        <w:rPr>
          <w:sz w:val="20"/>
          <w:szCs w:val="28"/>
        </w:rPr>
        <w:t xml:space="preserve">The key points raised by the DELWP </w:t>
      </w:r>
      <w:r w:rsidR="007A6528" w:rsidRPr="00182B21">
        <w:rPr>
          <w:sz w:val="20"/>
          <w:szCs w:val="28"/>
        </w:rPr>
        <w:t>were</w:t>
      </w:r>
      <w:r w:rsidR="00BD2700" w:rsidRPr="00182B21">
        <w:rPr>
          <w:sz w:val="20"/>
          <w:szCs w:val="28"/>
        </w:rPr>
        <w:t xml:space="preserve"> as follows: </w:t>
      </w:r>
    </w:p>
    <w:p w14:paraId="1AAD4263" w14:textId="2F155C02" w:rsidR="00D4543B" w:rsidRPr="00182B21" w:rsidRDefault="00D4543B" w:rsidP="00706D5D">
      <w:pPr>
        <w:pStyle w:val="ESNumberedBullet1"/>
        <w:spacing w:before="120" w:line="280" w:lineRule="atLeast"/>
        <w:rPr>
          <w:i/>
          <w:iCs/>
          <w:sz w:val="20"/>
          <w:szCs w:val="28"/>
        </w:rPr>
      </w:pPr>
      <w:r w:rsidRPr="00182B21">
        <w:rPr>
          <w:i/>
          <w:iCs/>
          <w:sz w:val="20"/>
          <w:szCs w:val="28"/>
        </w:rPr>
        <w:t xml:space="preserve">Any future amendment must be </w:t>
      </w:r>
      <w:r w:rsidR="00FC110D" w:rsidRPr="00182B21">
        <w:rPr>
          <w:i/>
          <w:iCs/>
          <w:sz w:val="20"/>
          <w:szCs w:val="28"/>
        </w:rPr>
        <w:t>based</w:t>
      </w:r>
      <w:r w:rsidRPr="00182B21">
        <w:rPr>
          <w:i/>
          <w:iCs/>
          <w:sz w:val="20"/>
          <w:szCs w:val="28"/>
        </w:rPr>
        <w:t xml:space="preserve"> on the strategic justification and merit of the proposal, rather than the development potential of the site. </w:t>
      </w:r>
    </w:p>
    <w:p w14:paraId="54376E89" w14:textId="27F98379" w:rsidR="00D4543B" w:rsidRPr="00182B21" w:rsidRDefault="00D4543B" w:rsidP="00706D5D">
      <w:pPr>
        <w:pStyle w:val="ESNumberedBullet1"/>
        <w:spacing w:before="120" w:line="280" w:lineRule="atLeast"/>
        <w:rPr>
          <w:i/>
          <w:iCs/>
          <w:sz w:val="20"/>
          <w:szCs w:val="28"/>
        </w:rPr>
      </w:pPr>
      <w:r w:rsidRPr="00182B21">
        <w:rPr>
          <w:i/>
          <w:iCs/>
          <w:sz w:val="20"/>
          <w:szCs w:val="28"/>
        </w:rPr>
        <w:t xml:space="preserve">Primary </w:t>
      </w:r>
      <w:r w:rsidR="002E7413" w:rsidRPr="00182B21">
        <w:rPr>
          <w:i/>
          <w:iCs/>
          <w:sz w:val="20"/>
          <w:szCs w:val="28"/>
        </w:rPr>
        <w:t>purpose</w:t>
      </w:r>
      <w:r w:rsidRPr="00182B21">
        <w:rPr>
          <w:i/>
          <w:iCs/>
          <w:sz w:val="20"/>
          <w:szCs w:val="28"/>
        </w:rPr>
        <w:t xml:space="preserve"> of rezoning the land is to reflect the existing/long-established use, (which is logical) but the Council should provide some justification around why the MUZ is the most appropriate land use option. </w:t>
      </w:r>
    </w:p>
    <w:p w14:paraId="40250F84" w14:textId="77777777" w:rsidR="00E36A4D" w:rsidRPr="00182B21" w:rsidRDefault="002E7413" w:rsidP="00706D5D">
      <w:pPr>
        <w:pStyle w:val="ESNumberedBullet1"/>
        <w:spacing w:before="120" w:line="280" w:lineRule="atLeast"/>
        <w:rPr>
          <w:i/>
          <w:iCs/>
          <w:sz w:val="20"/>
          <w:szCs w:val="28"/>
        </w:rPr>
      </w:pPr>
      <w:r w:rsidRPr="00182B21">
        <w:rPr>
          <w:i/>
          <w:iCs/>
          <w:sz w:val="20"/>
          <w:szCs w:val="28"/>
        </w:rPr>
        <w:t xml:space="preserve">Extending DDO32 doesn’t seem to be the most logical option, given that the site appears to have different built-form outcomes to the remainder of the DDO32 area. Certain matters are discussed in DDO32 which would not necessarily apply or be relevant to 200 Arden Street. </w:t>
      </w:r>
    </w:p>
    <w:p w14:paraId="119F5F31" w14:textId="3AA290B3" w:rsidR="007A6528" w:rsidRPr="00182B21" w:rsidRDefault="002E7413" w:rsidP="00706D5D">
      <w:pPr>
        <w:spacing w:before="120" w:line="280" w:lineRule="atLeast"/>
        <w:jc w:val="both"/>
        <w:rPr>
          <w:sz w:val="20"/>
          <w:szCs w:val="28"/>
        </w:rPr>
      </w:pPr>
      <w:r w:rsidRPr="00182B21">
        <w:rPr>
          <w:sz w:val="20"/>
          <w:szCs w:val="28"/>
        </w:rPr>
        <w:lastRenderedPageBreak/>
        <w:t>A</w:t>
      </w:r>
      <w:r w:rsidR="00A07F62" w:rsidRPr="00182B21">
        <w:rPr>
          <w:sz w:val="20"/>
          <w:szCs w:val="28"/>
        </w:rPr>
        <w:t xml:space="preserve"> </w:t>
      </w:r>
      <w:r w:rsidR="00B15189" w:rsidRPr="00182B21">
        <w:rPr>
          <w:sz w:val="20"/>
          <w:szCs w:val="28"/>
        </w:rPr>
        <w:t xml:space="preserve">third meeting was held with the CoM on </w:t>
      </w:r>
      <w:r w:rsidR="00BD2700" w:rsidRPr="00182B21">
        <w:rPr>
          <w:sz w:val="20"/>
          <w:szCs w:val="28"/>
        </w:rPr>
        <w:t xml:space="preserve">4 November 2022 </w:t>
      </w:r>
      <w:r w:rsidR="00B15189" w:rsidRPr="00182B21">
        <w:rPr>
          <w:sz w:val="20"/>
          <w:szCs w:val="28"/>
        </w:rPr>
        <w:t xml:space="preserve">in which we discussed </w:t>
      </w:r>
      <w:r w:rsidR="00A07F62" w:rsidRPr="00182B21">
        <w:rPr>
          <w:sz w:val="20"/>
          <w:szCs w:val="28"/>
        </w:rPr>
        <w:t>DELW</w:t>
      </w:r>
      <w:r w:rsidR="00EF4846" w:rsidRPr="00182B21">
        <w:rPr>
          <w:sz w:val="20"/>
          <w:szCs w:val="28"/>
        </w:rPr>
        <w:t xml:space="preserve">P’s comments. </w:t>
      </w:r>
      <w:r w:rsidR="00DB4A4D" w:rsidRPr="00182B21">
        <w:rPr>
          <w:sz w:val="20"/>
          <w:szCs w:val="28"/>
        </w:rPr>
        <w:t>Discussion included</w:t>
      </w:r>
      <w:r w:rsidR="00EF4846" w:rsidRPr="00182B21">
        <w:rPr>
          <w:sz w:val="20"/>
          <w:szCs w:val="28"/>
        </w:rPr>
        <w:t xml:space="preserve"> how these should be interpreted, and what their </w:t>
      </w:r>
      <w:r w:rsidR="00A07F62" w:rsidRPr="00182B21">
        <w:rPr>
          <w:sz w:val="20"/>
          <w:szCs w:val="28"/>
        </w:rPr>
        <w:t xml:space="preserve">implications </w:t>
      </w:r>
      <w:r w:rsidR="00EF4846" w:rsidRPr="00182B21">
        <w:rPr>
          <w:sz w:val="20"/>
          <w:szCs w:val="28"/>
        </w:rPr>
        <w:t xml:space="preserve">would be </w:t>
      </w:r>
      <w:r w:rsidR="00A07F62" w:rsidRPr="00182B21">
        <w:rPr>
          <w:sz w:val="20"/>
          <w:szCs w:val="28"/>
        </w:rPr>
        <w:t xml:space="preserve">for us in terms of </w:t>
      </w:r>
      <w:r w:rsidR="00EF4846" w:rsidRPr="00182B21">
        <w:rPr>
          <w:sz w:val="20"/>
          <w:szCs w:val="28"/>
        </w:rPr>
        <w:t xml:space="preserve">any future </w:t>
      </w:r>
      <w:r w:rsidR="00A07F62" w:rsidRPr="00182B21">
        <w:rPr>
          <w:sz w:val="20"/>
          <w:szCs w:val="28"/>
        </w:rPr>
        <w:t>submission</w:t>
      </w:r>
      <w:r w:rsidR="00EF4846" w:rsidRPr="00182B21">
        <w:rPr>
          <w:sz w:val="20"/>
          <w:szCs w:val="28"/>
        </w:rPr>
        <w:t>s</w:t>
      </w:r>
      <w:r w:rsidR="00A07F62" w:rsidRPr="00182B21">
        <w:rPr>
          <w:sz w:val="20"/>
          <w:szCs w:val="28"/>
        </w:rPr>
        <w:t xml:space="preserve">.  </w:t>
      </w:r>
    </w:p>
    <w:p w14:paraId="2D2865FA" w14:textId="62B00548" w:rsidR="000549F8" w:rsidRPr="00182B21" w:rsidRDefault="00A07F62" w:rsidP="00706D5D">
      <w:pPr>
        <w:spacing w:before="120" w:line="280" w:lineRule="atLeast"/>
        <w:jc w:val="both"/>
        <w:rPr>
          <w:sz w:val="20"/>
          <w:szCs w:val="28"/>
        </w:rPr>
      </w:pPr>
      <w:r w:rsidRPr="00182B21">
        <w:rPr>
          <w:sz w:val="20"/>
          <w:szCs w:val="28"/>
        </w:rPr>
        <w:t>Based on the feedback from DELWP</w:t>
      </w:r>
      <w:r w:rsidR="002E7413" w:rsidRPr="00182B21">
        <w:rPr>
          <w:sz w:val="20"/>
          <w:szCs w:val="28"/>
        </w:rPr>
        <w:t xml:space="preserve"> and further discussions with City of Melbourne,</w:t>
      </w:r>
      <w:r w:rsidRPr="00182B21">
        <w:rPr>
          <w:sz w:val="20"/>
          <w:szCs w:val="28"/>
        </w:rPr>
        <w:t xml:space="preserve"> it was suggested that the </w:t>
      </w:r>
      <w:r w:rsidR="007A6528" w:rsidRPr="00182B21">
        <w:rPr>
          <w:sz w:val="20"/>
          <w:szCs w:val="28"/>
        </w:rPr>
        <w:t xml:space="preserve">PSA </w:t>
      </w:r>
      <w:r w:rsidR="00B15189" w:rsidRPr="00182B21">
        <w:rPr>
          <w:sz w:val="20"/>
          <w:szCs w:val="28"/>
        </w:rPr>
        <w:t xml:space="preserve">should </w:t>
      </w:r>
      <w:r w:rsidR="007A6528" w:rsidRPr="00182B21">
        <w:rPr>
          <w:sz w:val="20"/>
          <w:szCs w:val="28"/>
        </w:rPr>
        <w:t xml:space="preserve">also </w:t>
      </w:r>
      <w:r w:rsidR="00B15189" w:rsidRPr="00182B21">
        <w:rPr>
          <w:sz w:val="20"/>
          <w:szCs w:val="28"/>
        </w:rPr>
        <w:t xml:space="preserve">include a site-specific DDO (along with the re-zoning) to ensure that design matters can be adequately controlled.  </w:t>
      </w:r>
      <w:r w:rsidR="007A6528" w:rsidRPr="00182B21">
        <w:rPr>
          <w:sz w:val="20"/>
          <w:szCs w:val="28"/>
        </w:rPr>
        <w:t xml:space="preserve">It was considered inappropriate to extend the boundary of DDO32 to include our site, </w:t>
      </w:r>
      <w:r w:rsidR="002E7413" w:rsidRPr="00182B21">
        <w:rPr>
          <w:sz w:val="20"/>
          <w:szCs w:val="28"/>
        </w:rPr>
        <w:t xml:space="preserve">so a separate DDO (DDO84) has been prepared in support of this submission. </w:t>
      </w:r>
    </w:p>
    <w:p w14:paraId="58AC400F" w14:textId="77777777" w:rsidR="00E149AA" w:rsidRPr="00182B21" w:rsidRDefault="00E149AA" w:rsidP="00C63591">
      <w:pPr>
        <w:rPr>
          <w:sz w:val="20"/>
          <w:szCs w:val="28"/>
        </w:rPr>
      </w:pPr>
    </w:p>
    <w:p w14:paraId="375542BB" w14:textId="34DAD591" w:rsidR="00E149AA" w:rsidRPr="00182B21" w:rsidRDefault="00E149AA" w:rsidP="00706D5D">
      <w:pPr>
        <w:spacing w:before="120" w:line="280" w:lineRule="atLeast"/>
        <w:jc w:val="both"/>
        <w:rPr>
          <w:sz w:val="20"/>
          <w:szCs w:val="28"/>
        </w:rPr>
      </w:pPr>
      <w:r w:rsidRPr="00182B21">
        <w:rPr>
          <w:sz w:val="20"/>
          <w:szCs w:val="28"/>
        </w:rPr>
        <w:t xml:space="preserve">The most recent engagement completed with City of Melbourne, including Statutory Planning, Strategic Planning, </w:t>
      </w:r>
      <w:r w:rsidR="00B229E7" w:rsidRPr="00182B21">
        <w:rPr>
          <w:sz w:val="20"/>
          <w:szCs w:val="28"/>
        </w:rPr>
        <w:t>Heritage,</w:t>
      </w:r>
      <w:r w:rsidRPr="00182B21">
        <w:rPr>
          <w:sz w:val="20"/>
          <w:szCs w:val="28"/>
        </w:rPr>
        <w:t xml:space="preserve"> and Urban Design has confirmed Council’s in-</w:t>
      </w:r>
      <w:r w:rsidR="00B229E7" w:rsidRPr="00182B21">
        <w:rPr>
          <w:sz w:val="20"/>
          <w:szCs w:val="28"/>
        </w:rPr>
        <w:t>principal</w:t>
      </w:r>
      <w:r w:rsidRPr="00182B21">
        <w:rPr>
          <w:sz w:val="20"/>
          <w:szCs w:val="28"/>
        </w:rPr>
        <w:t xml:space="preserve"> support for the amendment. Amendments to the design objectives within the DDO </w:t>
      </w:r>
      <w:r w:rsidR="00AE73C9" w:rsidRPr="00182B21">
        <w:rPr>
          <w:sz w:val="20"/>
          <w:szCs w:val="28"/>
        </w:rPr>
        <w:t xml:space="preserve">have been prepared In line with the comments received. </w:t>
      </w:r>
    </w:p>
    <w:p w14:paraId="0E9BD106" w14:textId="0C496189" w:rsidR="00AF3956" w:rsidRDefault="00BD3674" w:rsidP="00AF3956">
      <w:pPr>
        <w:pStyle w:val="Heading2"/>
      </w:pPr>
      <w:bookmarkStart w:id="21" w:name="_Toc152146930"/>
      <w:r>
        <w:t>Background to the Electrical Trade Union</w:t>
      </w:r>
      <w:bookmarkEnd w:id="21"/>
      <w:r>
        <w:t xml:space="preserve"> </w:t>
      </w:r>
    </w:p>
    <w:p w14:paraId="2F3E7993" w14:textId="77777777" w:rsidR="00CF13AD" w:rsidRPr="00182B21" w:rsidRDefault="00CF13AD" w:rsidP="00706D5D">
      <w:pPr>
        <w:spacing w:before="120" w:line="280" w:lineRule="atLeast"/>
        <w:jc w:val="both"/>
        <w:rPr>
          <w:sz w:val="20"/>
          <w:szCs w:val="28"/>
        </w:rPr>
      </w:pPr>
      <w:r w:rsidRPr="00182B21">
        <w:rPr>
          <w:sz w:val="20"/>
          <w:szCs w:val="28"/>
        </w:rPr>
        <w:t xml:space="preserve">The ETU has owned and occupied the site for in excess of 10 years. The ETU represents approximately 18,000 members in Victoria. The branch currently utilises the site as its administrative head office, and for the provision of training and health services to its members and their families, as well as the local community and the broader union movement. </w:t>
      </w:r>
    </w:p>
    <w:p w14:paraId="22FCD506" w14:textId="77777777" w:rsidR="00CF13AD" w:rsidRPr="00182B21" w:rsidRDefault="00CF13AD" w:rsidP="00706D5D">
      <w:pPr>
        <w:spacing w:before="120" w:line="280" w:lineRule="atLeast"/>
        <w:jc w:val="both"/>
        <w:rPr>
          <w:sz w:val="20"/>
          <w:szCs w:val="28"/>
        </w:rPr>
      </w:pPr>
    </w:p>
    <w:p w14:paraId="7C9848A8" w14:textId="2375F441" w:rsidR="00CF13AD" w:rsidRPr="00182B21" w:rsidRDefault="00CF13AD" w:rsidP="00706D5D">
      <w:pPr>
        <w:spacing w:before="120" w:line="280" w:lineRule="atLeast"/>
        <w:jc w:val="both"/>
        <w:rPr>
          <w:sz w:val="20"/>
          <w:szCs w:val="28"/>
        </w:rPr>
      </w:pPr>
      <w:r w:rsidRPr="00182B21">
        <w:rPr>
          <w:sz w:val="20"/>
          <w:szCs w:val="28"/>
        </w:rPr>
        <w:t>The ETU also leases commercial office space within the building to the ‘Centre For U’ (CFU), Protect (Electrical Industry Insurer), and the Holmesglen Institute. The CFU is a separate entity through which the ETU provides training, personal and professional services to members and their families at the site. These services include:</w:t>
      </w:r>
    </w:p>
    <w:p w14:paraId="6843BE7F" w14:textId="654400F8" w:rsidR="00CF13AD" w:rsidRPr="00706D5D" w:rsidRDefault="00CF13AD" w:rsidP="00706D5D">
      <w:pPr>
        <w:pStyle w:val="ESNumberedBullet1"/>
        <w:spacing w:before="120" w:line="280" w:lineRule="atLeast"/>
        <w:rPr>
          <w:sz w:val="20"/>
          <w:szCs w:val="28"/>
        </w:rPr>
      </w:pPr>
      <w:r w:rsidRPr="00706D5D">
        <w:rPr>
          <w:sz w:val="20"/>
          <w:szCs w:val="28"/>
        </w:rPr>
        <w:t>Accredited short courses delivered by registered training organisations;</w:t>
      </w:r>
    </w:p>
    <w:p w14:paraId="09EFFF5B" w14:textId="203FED57" w:rsidR="00CF13AD" w:rsidRPr="00706D5D" w:rsidRDefault="00CF13AD" w:rsidP="00706D5D">
      <w:pPr>
        <w:pStyle w:val="ESNumberedBullet1"/>
        <w:spacing w:before="120" w:line="280" w:lineRule="atLeast"/>
        <w:rPr>
          <w:sz w:val="20"/>
          <w:szCs w:val="28"/>
        </w:rPr>
      </w:pPr>
      <w:r w:rsidRPr="00706D5D">
        <w:rPr>
          <w:sz w:val="20"/>
          <w:szCs w:val="28"/>
        </w:rPr>
        <w:t>Health and skin checks;</w:t>
      </w:r>
    </w:p>
    <w:p w14:paraId="57240B24" w14:textId="21C07A55" w:rsidR="00CF13AD" w:rsidRPr="00706D5D" w:rsidRDefault="00CF13AD" w:rsidP="00706D5D">
      <w:pPr>
        <w:pStyle w:val="ESNumberedBullet1"/>
        <w:spacing w:before="120" w:line="280" w:lineRule="atLeast"/>
        <w:rPr>
          <w:sz w:val="20"/>
          <w:szCs w:val="28"/>
        </w:rPr>
      </w:pPr>
      <w:r w:rsidRPr="00706D5D">
        <w:rPr>
          <w:sz w:val="20"/>
          <w:szCs w:val="28"/>
        </w:rPr>
        <w:t>Counselling services;</w:t>
      </w:r>
    </w:p>
    <w:p w14:paraId="1CCC500D" w14:textId="5A2FAE78" w:rsidR="00CF13AD" w:rsidRPr="00706D5D" w:rsidRDefault="00CF13AD" w:rsidP="00706D5D">
      <w:pPr>
        <w:pStyle w:val="ESNumberedBullet1"/>
        <w:spacing w:before="120" w:line="280" w:lineRule="atLeast"/>
        <w:rPr>
          <w:sz w:val="20"/>
          <w:szCs w:val="28"/>
        </w:rPr>
      </w:pPr>
      <w:r w:rsidRPr="00706D5D">
        <w:rPr>
          <w:sz w:val="20"/>
          <w:szCs w:val="28"/>
        </w:rPr>
        <w:t>Financial and legal services; and</w:t>
      </w:r>
    </w:p>
    <w:p w14:paraId="6527D2BE" w14:textId="6246BFC8" w:rsidR="00CF13AD" w:rsidRPr="00706D5D" w:rsidRDefault="00CF13AD" w:rsidP="00706D5D">
      <w:pPr>
        <w:pStyle w:val="ESNumberedBullet1"/>
        <w:spacing w:before="120" w:line="280" w:lineRule="atLeast"/>
        <w:rPr>
          <w:sz w:val="20"/>
          <w:szCs w:val="28"/>
        </w:rPr>
      </w:pPr>
      <w:r w:rsidRPr="00706D5D">
        <w:rPr>
          <w:sz w:val="20"/>
          <w:szCs w:val="28"/>
        </w:rPr>
        <w:t>WorkCover advice.</w:t>
      </w:r>
    </w:p>
    <w:p w14:paraId="1C23E77E" w14:textId="77777777" w:rsidR="00CF13AD" w:rsidRPr="00182B21" w:rsidRDefault="00CF13AD" w:rsidP="00CF13AD">
      <w:pPr>
        <w:rPr>
          <w:color w:val="FF0000"/>
          <w:sz w:val="20"/>
          <w:szCs w:val="28"/>
        </w:rPr>
      </w:pPr>
    </w:p>
    <w:p w14:paraId="354F1AEC" w14:textId="10363121" w:rsidR="00CF13AD" w:rsidRPr="00182B21" w:rsidRDefault="00CF13AD" w:rsidP="00706D5D">
      <w:pPr>
        <w:spacing w:before="120" w:line="280" w:lineRule="atLeast"/>
        <w:jc w:val="both"/>
        <w:rPr>
          <w:sz w:val="20"/>
          <w:szCs w:val="28"/>
        </w:rPr>
      </w:pPr>
      <w:r w:rsidRPr="00182B21">
        <w:rPr>
          <w:sz w:val="20"/>
          <w:szCs w:val="28"/>
        </w:rPr>
        <w:t>The courses offered by the CFU include training in the design and installation of grid-connected solar photovoltaic systems. It is envisaged that further courses in sustainable and renewable technology will be offered in the future, including battery storage installation.</w:t>
      </w:r>
      <w:r w:rsidR="00036C7A" w:rsidRPr="00182B21">
        <w:rPr>
          <w:sz w:val="20"/>
          <w:szCs w:val="28"/>
        </w:rPr>
        <w:t xml:space="preserve"> </w:t>
      </w:r>
      <w:r w:rsidRPr="00182B21">
        <w:rPr>
          <w:sz w:val="20"/>
          <w:szCs w:val="28"/>
        </w:rPr>
        <w:t>The CFU has plans to establish strategic partnerships with ‘like-minded’ community organisations and has so far secured two working relationships with social organisations AMAZE and PANDA to provide autism education and post-natal depression seminars to members and the community.</w:t>
      </w:r>
    </w:p>
    <w:p w14:paraId="4056BABF" w14:textId="77777777" w:rsidR="00CF13AD" w:rsidRPr="00182B21" w:rsidRDefault="00CF13AD" w:rsidP="00706D5D">
      <w:pPr>
        <w:spacing w:before="120" w:line="280" w:lineRule="atLeast"/>
        <w:jc w:val="both"/>
        <w:rPr>
          <w:sz w:val="20"/>
          <w:szCs w:val="28"/>
        </w:rPr>
      </w:pPr>
    </w:p>
    <w:p w14:paraId="5A40E4B5" w14:textId="3E8DC19D" w:rsidR="00CF13AD" w:rsidRPr="00182B21" w:rsidRDefault="00CF13AD" w:rsidP="00706D5D">
      <w:pPr>
        <w:spacing w:before="120" w:line="280" w:lineRule="atLeast"/>
        <w:jc w:val="both"/>
        <w:rPr>
          <w:sz w:val="20"/>
          <w:szCs w:val="28"/>
        </w:rPr>
      </w:pPr>
      <w:r w:rsidRPr="00182B21">
        <w:rPr>
          <w:sz w:val="20"/>
          <w:szCs w:val="28"/>
        </w:rPr>
        <w:t>The CFU also offers its premises to community organisations to use as a venue. This includes evening and weekend events to support full access and utilisation. The City of Melbourne is one of the organisations that has used the CFU’s premises for this purpose. With approximately 40 services, including 18 training courses, provided at the premises each year, the ETU and CFU envisage growth in the training and community support services provided on the site. These include possible community outreach programmes and a soup kitchen.</w:t>
      </w:r>
    </w:p>
    <w:p w14:paraId="21776BA9" w14:textId="77777777" w:rsidR="00CF13AD" w:rsidRPr="00182B21" w:rsidRDefault="00CF13AD" w:rsidP="00CF13AD">
      <w:pPr>
        <w:rPr>
          <w:sz w:val="20"/>
          <w:szCs w:val="28"/>
        </w:rPr>
      </w:pPr>
    </w:p>
    <w:p w14:paraId="752AFD79" w14:textId="3912E519" w:rsidR="00CF13AD" w:rsidRPr="00182B21" w:rsidRDefault="00CF13AD" w:rsidP="00706D5D">
      <w:pPr>
        <w:spacing w:before="120" w:line="280" w:lineRule="atLeast"/>
        <w:jc w:val="both"/>
        <w:rPr>
          <w:sz w:val="20"/>
          <w:szCs w:val="28"/>
        </w:rPr>
      </w:pPr>
      <w:r w:rsidRPr="00182B21">
        <w:rPr>
          <w:sz w:val="20"/>
          <w:szCs w:val="28"/>
        </w:rPr>
        <w:t>Additional industry-related training is provided via ‘Futuretech’ as a collaborative training venture between the ETU</w:t>
      </w:r>
      <w:r w:rsidR="00182B21">
        <w:rPr>
          <w:sz w:val="20"/>
          <w:szCs w:val="28"/>
        </w:rPr>
        <w:t xml:space="preserve"> </w:t>
      </w:r>
      <w:r w:rsidRPr="00182B21">
        <w:rPr>
          <w:sz w:val="20"/>
          <w:szCs w:val="28"/>
        </w:rPr>
        <w:t>and Homesglen Institute. Futuretech was the recipient of the State and Federal Industry Collaboration Award in</w:t>
      </w:r>
      <w:r w:rsidR="00182B21">
        <w:rPr>
          <w:sz w:val="20"/>
          <w:szCs w:val="28"/>
        </w:rPr>
        <w:t xml:space="preserve"> </w:t>
      </w:r>
      <w:r w:rsidRPr="00182B21">
        <w:rPr>
          <w:sz w:val="20"/>
          <w:szCs w:val="28"/>
        </w:rPr>
        <w:t>2017. Training delivered at Futuretech includes:</w:t>
      </w:r>
    </w:p>
    <w:p w14:paraId="726C71DF" w14:textId="25527562" w:rsidR="00CF13AD" w:rsidRPr="00706D5D" w:rsidRDefault="00CF13AD" w:rsidP="00706D5D">
      <w:pPr>
        <w:pStyle w:val="ESNumberedBullet1"/>
        <w:spacing w:before="120" w:line="280" w:lineRule="atLeast"/>
        <w:rPr>
          <w:sz w:val="20"/>
          <w:szCs w:val="28"/>
        </w:rPr>
      </w:pPr>
      <w:r w:rsidRPr="00706D5D">
        <w:rPr>
          <w:sz w:val="20"/>
          <w:szCs w:val="28"/>
        </w:rPr>
        <w:t>Electrical Pre-</w:t>
      </w:r>
      <w:r w:rsidR="00B229E7" w:rsidRPr="00706D5D">
        <w:rPr>
          <w:sz w:val="20"/>
          <w:szCs w:val="28"/>
        </w:rPr>
        <w:t>apprenticeships.</w:t>
      </w:r>
    </w:p>
    <w:p w14:paraId="45596974" w14:textId="79E4059D" w:rsidR="00CF13AD" w:rsidRPr="00706D5D" w:rsidRDefault="00CF13AD" w:rsidP="00706D5D">
      <w:pPr>
        <w:pStyle w:val="ESNumberedBullet1"/>
        <w:spacing w:before="120" w:line="280" w:lineRule="atLeast"/>
        <w:rPr>
          <w:sz w:val="20"/>
          <w:szCs w:val="28"/>
        </w:rPr>
      </w:pPr>
      <w:r w:rsidRPr="00706D5D">
        <w:rPr>
          <w:sz w:val="20"/>
          <w:szCs w:val="28"/>
        </w:rPr>
        <w:t>Electrical Apprenticeships; and</w:t>
      </w:r>
    </w:p>
    <w:p w14:paraId="122F6148" w14:textId="27778C6E" w:rsidR="00CF13AD" w:rsidRPr="00706D5D" w:rsidRDefault="00CF13AD" w:rsidP="00706D5D">
      <w:pPr>
        <w:pStyle w:val="ESNumberedBullet1"/>
        <w:spacing w:before="120" w:line="280" w:lineRule="atLeast"/>
        <w:rPr>
          <w:sz w:val="20"/>
          <w:szCs w:val="28"/>
        </w:rPr>
      </w:pPr>
      <w:r w:rsidRPr="00706D5D">
        <w:rPr>
          <w:sz w:val="20"/>
          <w:szCs w:val="28"/>
        </w:rPr>
        <w:lastRenderedPageBreak/>
        <w:t>Electrical industry accredited courses.</w:t>
      </w:r>
    </w:p>
    <w:p w14:paraId="3EB3CE57" w14:textId="40106F05" w:rsidR="00CF13AD" w:rsidRPr="00182B21" w:rsidRDefault="00CF13AD" w:rsidP="00706D5D">
      <w:pPr>
        <w:pStyle w:val="ESNumberedBullet1"/>
        <w:spacing w:before="120" w:line="280" w:lineRule="atLeast"/>
        <w:rPr>
          <w:sz w:val="20"/>
          <w:szCs w:val="20"/>
        </w:rPr>
      </w:pPr>
      <w:r w:rsidRPr="00706D5D">
        <w:rPr>
          <w:sz w:val="20"/>
          <w:szCs w:val="28"/>
        </w:rPr>
        <w:t xml:space="preserve">Like the CFU, Futuretech also offers </w:t>
      </w:r>
      <w:r w:rsidR="00E36A4D" w:rsidRPr="00706D5D">
        <w:rPr>
          <w:sz w:val="20"/>
          <w:szCs w:val="28"/>
        </w:rPr>
        <w:t>several</w:t>
      </w:r>
      <w:r w:rsidRPr="00706D5D">
        <w:rPr>
          <w:sz w:val="20"/>
          <w:szCs w:val="28"/>
        </w:rPr>
        <w:t xml:space="preserve"> courses in the design and installation of solar and other renewable energy systems.</w:t>
      </w:r>
    </w:p>
    <w:p w14:paraId="01F256E3" w14:textId="77777777" w:rsidR="00CF13AD" w:rsidRPr="00706D5D" w:rsidRDefault="00CF13AD" w:rsidP="00706D5D">
      <w:pPr>
        <w:spacing w:before="120" w:line="280" w:lineRule="atLeast"/>
        <w:jc w:val="both"/>
        <w:rPr>
          <w:sz w:val="20"/>
          <w:szCs w:val="28"/>
        </w:rPr>
      </w:pPr>
    </w:p>
    <w:p w14:paraId="0D3A5580" w14:textId="011C1D89" w:rsidR="00AF3956" w:rsidRPr="00182B21" w:rsidRDefault="00CF13AD" w:rsidP="00706D5D">
      <w:pPr>
        <w:spacing w:before="120" w:line="280" w:lineRule="atLeast"/>
        <w:jc w:val="both"/>
        <w:rPr>
          <w:sz w:val="20"/>
          <w:szCs w:val="28"/>
        </w:rPr>
      </w:pPr>
      <w:r w:rsidRPr="00182B21">
        <w:rPr>
          <w:sz w:val="20"/>
          <w:szCs w:val="28"/>
        </w:rPr>
        <w:t>Additionally, the ETU provides Future Energy Skills (an Energy Safe Victoria-approved assessment centre) with</w:t>
      </w:r>
      <w:r w:rsidR="00182B21">
        <w:rPr>
          <w:sz w:val="20"/>
          <w:szCs w:val="28"/>
        </w:rPr>
        <w:t xml:space="preserve"> </w:t>
      </w:r>
      <w:r w:rsidRPr="00182B21">
        <w:rPr>
          <w:sz w:val="20"/>
          <w:szCs w:val="28"/>
        </w:rPr>
        <w:t>free training facilities, enabling them to make the Licenced Electrical Assessment more accessible for apprentices</w:t>
      </w:r>
      <w:r w:rsidR="000549F8" w:rsidRPr="00182B21">
        <w:rPr>
          <w:sz w:val="20"/>
          <w:szCs w:val="28"/>
        </w:rPr>
        <w:t>.</w:t>
      </w:r>
    </w:p>
    <w:p w14:paraId="2193064E" w14:textId="77777777" w:rsidR="002E7413" w:rsidRPr="00706D5D" w:rsidRDefault="002E7413" w:rsidP="00706D5D">
      <w:pPr>
        <w:spacing w:before="120" w:line="280" w:lineRule="atLeast"/>
        <w:jc w:val="both"/>
        <w:rPr>
          <w:sz w:val="20"/>
          <w:szCs w:val="28"/>
        </w:rPr>
      </w:pPr>
      <w:bookmarkStart w:id="22" w:name="_Toc103201855"/>
      <w:r w:rsidRPr="00706D5D">
        <w:rPr>
          <w:sz w:val="20"/>
          <w:szCs w:val="28"/>
        </w:rPr>
        <w:br w:type="page"/>
      </w:r>
    </w:p>
    <w:p w14:paraId="166A6402" w14:textId="2A087591" w:rsidR="00C63591" w:rsidRPr="00C63591" w:rsidRDefault="00C63591" w:rsidP="00C63591">
      <w:pPr>
        <w:pStyle w:val="Heading1"/>
      </w:pPr>
      <w:bookmarkStart w:id="23" w:name="_Toc152146931"/>
      <w:r w:rsidRPr="00C63591">
        <w:lastRenderedPageBreak/>
        <w:t>Site Location and Context</w:t>
      </w:r>
      <w:bookmarkEnd w:id="22"/>
      <w:bookmarkEnd w:id="23"/>
    </w:p>
    <w:p w14:paraId="0A8B6B36" w14:textId="2640C4AB" w:rsidR="00C63591" w:rsidRDefault="00C63591" w:rsidP="00C63591">
      <w:pPr>
        <w:pStyle w:val="Heading2"/>
      </w:pPr>
      <w:bookmarkStart w:id="24" w:name="_Toc103201856"/>
      <w:bookmarkStart w:id="25" w:name="_Toc152146932"/>
      <w:r w:rsidRPr="00C63591">
        <w:t xml:space="preserve">The Subject </w:t>
      </w:r>
      <w:bookmarkEnd w:id="24"/>
      <w:r w:rsidR="002E7732">
        <w:t>Site</w:t>
      </w:r>
      <w:bookmarkEnd w:id="25"/>
    </w:p>
    <w:p w14:paraId="219CAFDD" w14:textId="0DA27CD5" w:rsidR="00C63591" w:rsidRPr="00182B21" w:rsidRDefault="002E7732" w:rsidP="00706D5D">
      <w:pPr>
        <w:spacing w:before="120" w:line="280" w:lineRule="atLeast"/>
        <w:jc w:val="both"/>
        <w:rPr>
          <w:sz w:val="20"/>
          <w:szCs w:val="28"/>
        </w:rPr>
      </w:pPr>
      <w:r w:rsidRPr="00182B21">
        <w:rPr>
          <w:sz w:val="20"/>
          <w:szCs w:val="28"/>
        </w:rPr>
        <w:t xml:space="preserve">The subject site is located at 200 Arden Street, North Melbourne. The site has been owned and occupied by the </w:t>
      </w:r>
      <w:r w:rsidR="00DB4A4D" w:rsidRPr="00182B21">
        <w:rPr>
          <w:sz w:val="20"/>
          <w:szCs w:val="28"/>
        </w:rPr>
        <w:t>ETU</w:t>
      </w:r>
      <w:r w:rsidRPr="00182B21">
        <w:rPr>
          <w:sz w:val="20"/>
          <w:szCs w:val="28"/>
        </w:rPr>
        <w:t xml:space="preserve"> </w:t>
      </w:r>
      <w:r w:rsidR="00AE106B" w:rsidRPr="00182B21">
        <w:rPr>
          <w:sz w:val="20"/>
          <w:szCs w:val="28"/>
        </w:rPr>
        <w:t>for over ten years for the purposes of administrative offices and the delivery of training and support programmes.</w:t>
      </w:r>
    </w:p>
    <w:p w14:paraId="7BA5D655" w14:textId="241C7311" w:rsidR="003E346B" w:rsidRPr="00182B21" w:rsidRDefault="003E346B" w:rsidP="00706D5D">
      <w:pPr>
        <w:spacing w:before="120" w:line="280" w:lineRule="atLeast"/>
        <w:jc w:val="both"/>
        <w:rPr>
          <w:sz w:val="20"/>
          <w:szCs w:val="28"/>
        </w:rPr>
      </w:pPr>
    </w:p>
    <w:p w14:paraId="325C16E0" w14:textId="0E93FAED" w:rsidR="00855EAA" w:rsidRPr="00182B21" w:rsidRDefault="00153AC4" w:rsidP="00706D5D">
      <w:pPr>
        <w:spacing w:before="120" w:line="280" w:lineRule="atLeast"/>
        <w:jc w:val="both"/>
        <w:rPr>
          <w:sz w:val="20"/>
          <w:szCs w:val="28"/>
        </w:rPr>
      </w:pPr>
      <w:r w:rsidRPr="00182B21">
        <w:rPr>
          <w:sz w:val="20"/>
          <w:szCs w:val="28"/>
        </w:rPr>
        <w:t>The building that occupies the site was originally constructed for industrial use by Melbourne Mills at the turn of the 20th century and was repurposed as an office complex in 1990-1991. Prior to its purchase by the ETU, the building was used as offices for tenants including Nickless Ltd and P&amp;O Services Pty Ltd.</w:t>
      </w:r>
    </w:p>
    <w:p w14:paraId="0B5BFA61" w14:textId="77777777" w:rsidR="00153AC4" w:rsidRPr="00182B21" w:rsidRDefault="00153AC4" w:rsidP="00706D5D">
      <w:pPr>
        <w:spacing w:before="120" w:line="280" w:lineRule="atLeast"/>
        <w:jc w:val="both"/>
        <w:rPr>
          <w:sz w:val="20"/>
          <w:szCs w:val="28"/>
        </w:rPr>
      </w:pPr>
    </w:p>
    <w:p w14:paraId="3B88D231" w14:textId="7E7CE309" w:rsidR="00842FBB" w:rsidRPr="00182B21" w:rsidRDefault="00855EAA" w:rsidP="00706D5D">
      <w:pPr>
        <w:spacing w:before="120" w:line="280" w:lineRule="atLeast"/>
        <w:jc w:val="both"/>
        <w:rPr>
          <w:sz w:val="20"/>
          <w:szCs w:val="28"/>
        </w:rPr>
      </w:pPr>
      <w:r w:rsidRPr="00182B21">
        <w:rPr>
          <w:sz w:val="20"/>
          <w:szCs w:val="28"/>
        </w:rPr>
        <w:t>The site is located on the north side of Arden Street, directly east of its intersection with Macaulay Road</w:t>
      </w:r>
      <w:r w:rsidR="00842FBB" w:rsidRPr="00182B21">
        <w:rPr>
          <w:sz w:val="20"/>
          <w:szCs w:val="28"/>
        </w:rPr>
        <w:t xml:space="preserve">, as shown in </w:t>
      </w:r>
      <w:r w:rsidR="00842FBB" w:rsidRPr="00706D5D">
        <w:rPr>
          <w:b/>
          <w:bCs/>
          <w:sz w:val="20"/>
          <w:szCs w:val="28"/>
        </w:rPr>
        <w:t>Figure 1</w:t>
      </w:r>
      <w:r w:rsidRPr="00182B21">
        <w:rPr>
          <w:sz w:val="20"/>
          <w:szCs w:val="28"/>
        </w:rPr>
        <w:t>. The ETU site directly adjoins the property at 139-153 O’Shanassy Street which is held by the Department of Health and Human Services (DHHS) and is occupied by social housing. These properties form a block bound by Arden Street to the south, Macaulay Road and Dryburgh Street to the west, O’Shanassy Street to the north and Lothian Street to the east.</w:t>
      </w:r>
    </w:p>
    <w:p w14:paraId="2F877A14" w14:textId="4518856A" w:rsidR="009164A3" w:rsidRPr="00182B21" w:rsidRDefault="009164A3" w:rsidP="00C63591">
      <w:pPr>
        <w:rPr>
          <w:sz w:val="20"/>
          <w:szCs w:val="28"/>
        </w:rPr>
      </w:pPr>
    </w:p>
    <w:p w14:paraId="5C7C406C" w14:textId="77777777" w:rsidR="009164A3" w:rsidRPr="00182B21" w:rsidRDefault="009164A3" w:rsidP="00706D5D">
      <w:pPr>
        <w:spacing w:before="120" w:line="280" w:lineRule="atLeast"/>
        <w:jc w:val="both"/>
        <w:rPr>
          <w:sz w:val="20"/>
          <w:szCs w:val="28"/>
        </w:rPr>
      </w:pPr>
      <w:r w:rsidRPr="00182B21">
        <w:rPr>
          <w:sz w:val="20"/>
          <w:szCs w:val="28"/>
        </w:rPr>
        <w:t>Key features of the site include:</w:t>
      </w:r>
    </w:p>
    <w:p w14:paraId="25C04C13" w14:textId="21C0119B" w:rsidR="009164A3" w:rsidRPr="00182B21" w:rsidRDefault="009164A3" w:rsidP="00706D5D">
      <w:pPr>
        <w:pStyle w:val="ESNumberedBullet1"/>
        <w:spacing w:before="120" w:line="280" w:lineRule="atLeast"/>
        <w:rPr>
          <w:sz w:val="20"/>
          <w:szCs w:val="28"/>
        </w:rPr>
      </w:pPr>
      <w:r w:rsidRPr="00182B21">
        <w:rPr>
          <w:sz w:val="20"/>
          <w:szCs w:val="28"/>
        </w:rPr>
        <w:t>The site is a single irregularly shaped allotment of approximately 2,109m</w:t>
      </w:r>
      <w:r w:rsidRPr="00706D5D">
        <w:rPr>
          <w:sz w:val="20"/>
          <w:szCs w:val="28"/>
        </w:rPr>
        <w:t>2</w:t>
      </w:r>
      <w:r w:rsidRPr="00182B21">
        <w:rPr>
          <w:sz w:val="20"/>
          <w:szCs w:val="28"/>
        </w:rPr>
        <w:t xml:space="preserve"> in size. </w:t>
      </w:r>
    </w:p>
    <w:p w14:paraId="5D332A66" w14:textId="77777777" w:rsidR="009164A3" w:rsidRPr="00182B21" w:rsidRDefault="009164A3" w:rsidP="00706D5D">
      <w:pPr>
        <w:pStyle w:val="ESNumberedBullet1"/>
        <w:spacing w:before="120" w:line="280" w:lineRule="atLeast"/>
        <w:rPr>
          <w:sz w:val="20"/>
          <w:szCs w:val="28"/>
        </w:rPr>
      </w:pPr>
      <w:r w:rsidRPr="00182B21">
        <w:rPr>
          <w:sz w:val="20"/>
          <w:szCs w:val="28"/>
        </w:rPr>
        <w:t xml:space="preserve">The land slopes gently from the south-eastern corner towards the north-west. </w:t>
      </w:r>
    </w:p>
    <w:p w14:paraId="6A2FF66C" w14:textId="193F0CDB" w:rsidR="00430E18" w:rsidRPr="00182B21" w:rsidRDefault="009164A3" w:rsidP="00706D5D">
      <w:pPr>
        <w:pStyle w:val="ESNumberedBullet1"/>
        <w:spacing w:before="120" w:line="280" w:lineRule="atLeast"/>
        <w:rPr>
          <w:sz w:val="20"/>
          <w:szCs w:val="28"/>
        </w:rPr>
      </w:pPr>
      <w:r w:rsidRPr="00182B21">
        <w:rPr>
          <w:sz w:val="20"/>
          <w:szCs w:val="28"/>
        </w:rPr>
        <w:t xml:space="preserve">The site </w:t>
      </w:r>
      <w:r w:rsidR="00430E18" w:rsidRPr="00182B21">
        <w:rPr>
          <w:sz w:val="20"/>
          <w:szCs w:val="28"/>
        </w:rPr>
        <w:t xml:space="preserve">benefits from a street frontage of approximately 48.5m to Arden Street, a combined interface of 35m to Macaulay Road and Dryburgh Street, a side interface of 50.5m to Lothian Street, and a rear interface of 19.5m to O’Shanassy Street. </w:t>
      </w:r>
    </w:p>
    <w:p w14:paraId="6E9B0914" w14:textId="741E5DA9" w:rsidR="009164A3" w:rsidRPr="00182B21" w:rsidRDefault="00430E18" w:rsidP="00706D5D">
      <w:pPr>
        <w:pStyle w:val="ESNumberedBullet1"/>
        <w:spacing w:before="120" w:line="280" w:lineRule="atLeast"/>
        <w:rPr>
          <w:sz w:val="20"/>
          <w:szCs w:val="28"/>
        </w:rPr>
      </w:pPr>
      <w:r w:rsidRPr="00182B21">
        <w:rPr>
          <w:sz w:val="20"/>
          <w:szCs w:val="28"/>
        </w:rPr>
        <w:t>There are multiple a</w:t>
      </w:r>
      <w:r w:rsidR="009164A3" w:rsidRPr="00182B21">
        <w:rPr>
          <w:sz w:val="20"/>
          <w:szCs w:val="28"/>
        </w:rPr>
        <w:t xml:space="preserve">ccess </w:t>
      </w:r>
      <w:r w:rsidRPr="00182B21">
        <w:rPr>
          <w:sz w:val="20"/>
          <w:szCs w:val="28"/>
        </w:rPr>
        <w:t xml:space="preserve">points </w:t>
      </w:r>
      <w:r w:rsidR="009164A3" w:rsidRPr="00182B21">
        <w:rPr>
          <w:sz w:val="20"/>
          <w:szCs w:val="28"/>
        </w:rPr>
        <w:t xml:space="preserve">to the site </w:t>
      </w:r>
      <w:r w:rsidRPr="00182B21">
        <w:rPr>
          <w:sz w:val="20"/>
          <w:szCs w:val="28"/>
        </w:rPr>
        <w:t xml:space="preserve">via all its interfaces. The main vehicle access point is on Macaulay Road and the main pedestrian access is from Arden Street. </w:t>
      </w:r>
    </w:p>
    <w:p w14:paraId="5734907C" w14:textId="199B4121" w:rsidR="009164A3" w:rsidRPr="00182B21" w:rsidRDefault="001C38B3" w:rsidP="00706D5D">
      <w:pPr>
        <w:pStyle w:val="ESNumberedBullet1"/>
        <w:spacing w:before="120" w:line="280" w:lineRule="atLeast"/>
        <w:rPr>
          <w:sz w:val="20"/>
          <w:szCs w:val="28"/>
        </w:rPr>
      </w:pPr>
      <w:r w:rsidRPr="00182B21">
        <w:rPr>
          <w:sz w:val="20"/>
          <w:szCs w:val="28"/>
        </w:rPr>
        <w:t xml:space="preserve">Development on the land consists of a four-storey commercial and community uses building built to boundaries. The development also comprises an elevated outdoor area overlooking Macaulay Road. </w:t>
      </w:r>
      <w:r w:rsidR="007A36F5" w:rsidRPr="00182B21">
        <w:rPr>
          <w:sz w:val="20"/>
          <w:szCs w:val="28"/>
        </w:rPr>
        <w:t xml:space="preserve">This terrace is accessed via stairs on the western edge of the site. </w:t>
      </w:r>
    </w:p>
    <w:p w14:paraId="13138270" w14:textId="5E0804BF" w:rsidR="00C63591" w:rsidRDefault="00C63591" w:rsidP="00C63591"/>
    <w:p w14:paraId="74AB025A" w14:textId="26BF8F1C" w:rsidR="00AE106B" w:rsidRPr="00C63591" w:rsidRDefault="00AE106B" w:rsidP="00C63591">
      <w:r>
        <w:rPr>
          <w:noProof/>
        </w:rPr>
        <w:drawing>
          <wp:inline distT="0" distB="0" distL="0" distR="0" wp14:anchorId="1DE1DF52" wp14:editId="495CEBA9">
            <wp:extent cx="3878789" cy="2743200"/>
            <wp:effectExtent l="0" t="0" r="7620" b="0"/>
            <wp:docPr id="2" name="Picture 2" descr="Aerial of site with subject site shown within red dashed line&#1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erial of site with subject site shown within red dashed line&#10;&#10;&#10;&#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97610" cy="2756511"/>
                    </a:xfrm>
                    <a:prstGeom prst="rect">
                      <a:avLst/>
                    </a:prstGeom>
                  </pic:spPr>
                </pic:pic>
              </a:graphicData>
            </a:graphic>
          </wp:inline>
        </w:drawing>
      </w:r>
    </w:p>
    <w:p w14:paraId="270B9BC8" w14:textId="4917F71E" w:rsidR="00C63591" w:rsidRPr="00AE106B" w:rsidRDefault="00C63591" w:rsidP="00C63591">
      <w:pPr>
        <w:pStyle w:val="Caption"/>
        <w:rPr>
          <w:i w:val="0"/>
          <w:iCs w:val="0"/>
        </w:rPr>
      </w:pPr>
      <w:bookmarkStart w:id="26" w:name="_Toc104424972"/>
      <w:bookmarkStart w:id="27" w:name="_Toc149851761"/>
      <w:r w:rsidRPr="00AE106B">
        <w:rPr>
          <w:i w:val="0"/>
          <w:iCs w:val="0"/>
        </w:rPr>
        <w:t xml:space="preserve">Figure </w:t>
      </w:r>
      <w:r w:rsidR="00905F5F" w:rsidRPr="00AE106B">
        <w:rPr>
          <w:i w:val="0"/>
          <w:iCs w:val="0"/>
        </w:rPr>
        <w:fldChar w:fldCharType="begin"/>
      </w:r>
      <w:r w:rsidR="00905F5F" w:rsidRPr="00AE106B">
        <w:rPr>
          <w:i w:val="0"/>
          <w:iCs w:val="0"/>
        </w:rPr>
        <w:instrText xml:space="preserve"> SEQ Figure </w:instrText>
      </w:r>
      <w:r w:rsidR="00905F5F" w:rsidRPr="00AE106B">
        <w:rPr>
          <w:i w:val="0"/>
          <w:iCs w:val="0"/>
        </w:rPr>
        <w:fldChar w:fldCharType="separate"/>
      </w:r>
      <w:r w:rsidR="007F66EC">
        <w:rPr>
          <w:i w:val="0"/>
          <w:iCs w:val="0"/>
          <w:noProof/>
        </w:rPr>
        <w:t>1</w:t>
      </w:r>
      <w:r w:rsidR="00905F5F" w:rsidRPr="00AE106B">
        <w:rPr>
          <w:i w:val="0"/>
          <w:iCs w:val="0"/>
          <w:noProof/>
        </w:rPr>
        <w:fldChar w:fldCharType="end"/>
      </w:r>
      <w:r w:rsidRPr="00AE106B">
        <w:rPr>
          <w:i w:val="0"/>
          <w:iCs w:val="0"/>
        </w:rPr>
        <w:tab/>
      </w:r>
      <w:bookmarkEnd w:id="26"/>
      <w:r w:rsidR="00AE106B" w:rsidRPr="00AE106B">
        <w:rPr>
          <w:i w:val="0"/>
          <w:iCs w:val="0"/>
        </w:rPr>
        <w:t>Context Map</w:t>
      </w:r>
      <w:bookmarkEnd w:id="27"/>
    </w:p>
    <w:p w14:paraId="0FB263E8" w14:textId="493F3EA6" w:rsidR="00DB4A4D" w:rsidRDefault="00C63591" w:rsidP="00182B21">
      <w:pPr>
        <w:pStyle w:val="SourceNotes"/>
        <w:rPr>
          <w:i/>
          <w:iCs/>
        </w:rPr>
      </w:pPr>
      <w:r w:rsidRPr="00AE106B">
        <w:rPr>
          <w:i/>
          <w:iCs/>
        </w:rPr>
        <w:t>Source/Notes:</w:t>
      </w:r>
      <w:r w:rsidR="00AE106B" w:rsidRPr="00AE106B">
        <w:rPr>
          <w:i/>
          <w:iCs/>
        </w:rPr>
        <w:t xml:space="preserve"> Ethos Urban &amp; NearMap</w:t>
      </w:r>
    </w:p>
    <w:p w14:paraId="4AA3971E" w14:textId="7EB27159" w:rsidR="00153AC4" w:rsidRDefault="00153AC4" w:rsidP="00153AC4">
      <w:pPr>
        <w:pStyle w:val="Heading2"/>
      </w:pPr>
      <w:bookmarkStart w:id="28" w:name="_Toc152146933"/>
      <w:r>
        <w:lastRenderedPageBreak/>
        <w:t>Surrounding Area</w:t>
      </w:r>
      <w:bookmarkEnd w:id="28"/>
    </w:p>
    <w:p w14:paraId="20414F59" w14:textId="6C9815D4" w:rsidR="00A51042" w:rsidRPr="00182B21" w:rsidRDefault="00153AC4" w:rsidP="00706D5D">
      <w:pPr>
        <w:spacing w:before="120" w:line="280" w:lineRule="atLeast"/>
        <w:jc w:val="both"/>
        <w:rPr>
          <w:sz w:val="20"/>
          <w:szCs w:val="28"/>
        </w:rPr>
      </w:pPr>
      <w:r w:rsidRPr="00182B21">
        <w:rPr>
          <w:sz w:val="20"/>
          <w:szCs w:val="28"/>
        </w:rPr>
        <w:t xml:space="preserve">The subject site is located </w:t>
      </w:r>
      <w:r w:rsidR="00FE51CB" w:rsidRPr="00182B21">
        <w:rPr>
          <w:sz w:val="20"/>
          <w:szCs w:val="28"/>
        </w:rPr>
        <w:t>approximately 1.6</w:t>
      </w:r>
      <w:r w:rsidRPr="00182B21">
        <w:rPr>
          <w:sz w:val="20"/>
          <w:szCs w:val="28"/>
        </w:rPr>
        <w:t xml:space="preserve">km north of Melbourne’s </w:t>
      </w:r>
      <w:r w:rsidR="00914195" w:rsidRPr="00182B21">
        <w:rPr>
          <w:sz w:val="20"/>
          <w:szCs w:val="28"/>
        </w:rPr>
        <w:t>C</w:t>
      </w:r>
      <w:r w:rsidRPr="00182B21">
        <w:rPr>
          <w:sz w:val="20"/>
          <w:szCs w:val="28"/>
        </w:rPr>
        <w:t xml:space="preserve">entral </w:t>
      </w:r>
      <w:r w:rsidR="00914195" w:rsidRPr="00182B21">
        <w:rPr>
          <w:sz w:val="20"/>
          <w:szCs w:val="28"/>
        </w:rPr>
        <w:t>B</w:t>
      </w:r>
      <w:r w:rsidRPr="00182B21">
        <w:rPr>
          <w:sz w:val="20"/>
          <w:szCs w:val="28"/>
        </w:rPr>
        <w:t xml:space="preserve">usiness </w:t>
      </w:r>
      <w:r w:rsidR="00914195" w:rsidRPr="00182B21">
        <w:rPr>
          <w:sz w:val="20"/>
          <w:szCs w:val="28"/>
        </w:rPr>
        <w:t>D</w:t>
      </w:r>
      <w:r w:rsidRPr="00182B21">
        <w:rPr>
          <w:sz w:val="20"/>
          <w:szCs w:val="28"/>
        </w:rPr>
        <w:t>istrict (CBD) in the suburb of North Melbourne.</w:t>
      </w:r>
      <w:r w:rsidR="00914195" w:rsidRPr="00182B21">
        <w:rPr>
          <w:sz w:val="20"/>
          <w:szCs w:val="28"/>
        </w:rPr>
        <w:t xml:space="preserve"> The site is </w:t>
      </w:r>
      <w:r w:rsidR="00B55ECF" w:rsidRPr="00182B21">
        <w:rPr>
          <w:sz w:val="20"/>
          <w:szCs w:val="28"/>
        </w:rPr>
        <w:t xml:space="preserve">located within the City of Melbourne local government area (LGA). </w:t>
      </w:r>
      <w:r w:rsidR="00281533" w:rsidRPr="00182B21">
        <w:rPr>
          <w:sz w:val="20"/>
          <w:szCs w:val="28"/>
        </w:rPr>
        <w:t xml:space="preserve">The North Melbourne Railway Station is located approximately 835m south of the site. </w:t>
      </w:r>
    </w:p>
    <w:p w14:paraId="436A6FC4" w14:textId="77777777" w:rsidR="00A51042" w:rsidRPr="00182B21" w:rsidRDefault="00A51042" w:rsidP="00706D5D">
      <w:pPr>
        <w:spacing w:before="120" w:line="280" w:lineRule="atLeast"/>
        <w:jc w:val="both"/>
        <w:rPr>
          <w:sz w:val="20"/>
          <w:szCs w:val="28"/>
        </w:rPr>
      </w:pPr>
    </w:p>
    <w:p w14:paraId="1C633671" w14:textId="0F8F2885" w:rsidR="00D31B0B" w:rsidRDefault="00B55ECF" w:rsidP="00706D5D">
      <w:pPr>
        <w:spacing w:before="120" w:line="280" w:lineRule="atLeast"/>
        <w:jc w:val="both"/>
        <w:rPr>
          <w:sz w:val="20"/>
          <w:szCs w:val="28"/>
        </w:rPr>
      </w:pPr>
      <w:r w:rsidRPr="00182B21">
        <w:rPr>
          <w:sz w:val="20"/>
          <w:szCs w:val="28"/>
        </w:rPr>
        <w:t>The surrounding area comprises a diversity of land uses including residential, commercial, industrial, community and recreation uses.</w:t>
      </w:r>
      <w:r w:rsidR="00747895" w:rsidRPr="00182B21">
        <w:rPr>
          <w:sz w:val="20"/>
          <w:szCs w:val="28"/>
        </w:rPr>
        <w:t xml:space="preserve"> The subject site is located between the mixed-use area to the south of Arden Street and the residential area to the north of Arden Street.</w:t>
      </w:r>
      <w:r w:rsidRPr="00182B21">
        <w:rPr>
          <w:sz w:val="20"/>
          <w:szCs w:val="28"/>
        </w:rPr>
        <w:t xml:space="preserve"> </w:t>
      </w:r>
      <w:r w:rsidR="0029623D" w:rsidRPr="00182B21">
        <w:rPr>
          <w:sz w:val="20"/>
          <w:szCs w:val="28"/>
        </w:rPr>
        <w:t>The site is located within the General Residential Zone – Schedule 1, which applies to the residential area bound by Arden Street to</w:t>
      </w:r>
      <w:r w:rsidR="00706D5D">
        <w:rPr>
          <w:sz w:val="20"/>
          <w:szCs w:val="28"/>
        </w:rPr>
        <w:t xml:space="preserve"> </w:t>
      </w:r>
      <w:r w:rsidR="0029623D" w:rsidRPr="00182B21">
        <w:rPr>
          <w:sz w:val="20"/>
          <w:szCs w:val="28"/>
        </w:rPr>
        <w:t xml:space="preserve">the south, Dryburgh Street to the west, Haines Street to the north and Curzon Street to the east. </w:t>
      </w:r>
    </w:p>
    <w:p w14:paraId="0DF6E121" w14:textId="77777777" w:rsidR="00706D5D" w:rsidRPr="00182B21" w:rsidRDefault="00706D5D" w:rsidP="00706D5D">
      <w:pPr>
        <w:spacing w:before="120" w:line="280" w:lineRule="atLeast"/>
        <w:jc w:val="both"/>
        <w:rPr>
          <w:sz w:val="20"/>
          <w:szCs w:val="28"/>
        </w:rPr>
      </w:pPr>
    </w:p>
    <w:p w14:paraId="1D214C2A" w14:textId="06D5A188" w:rsidR="00AE73C9" w:rsidRPr="00706D5D" w:rsidRDefault="00D31B0B" w:rsidP="00706D5D">
      <w:pPr>
        <w:spacing w:before="120" w:line="280" w:lineRule="atLeast"/>
        <w:jc w:val="both"/>
        <w:rPr>
          <w:sz w:val="20"/>
          <w:szCs w:val="28"/>
        </w:rPr>
      </w:pPr>
      <w:r w:rsidRPr="00706D5D">
        <w:rPr>
          <w:sz w:val="20"/>
          <w:szCs w:val="28"/>
        </w:rPr>
        <w:t xml:space="preserve">The context of the subject site is characterised by: </w:t>
      </w:r>
    </w:p>
    <w:p w14:paraId="2F18EC21" w14:textId="031346C7" w:rsidR="00D31B0B" w:rsidRPr="00182B21" w:rsidRDefault="00D31B0B" w:rsidP="00706D5D">
      <w:pPr>
        <w:pStyle w:val="ESNumberedBullet1"/>
        <w:spacing w:before="120" w:line="280" w:lineRule="atLeast"/>
        <w:rPr>
          <w:sz w:val="20"/>
          <w:szCs w:val="28"/>
        </w:rPr>
      </w:pPr>
      <w:r w:rsidRPr="00182B21">
        <w:rPr>
          <w:sz w:val="20"/>
          <w:szCs w:val="28"/>
        </w:rPr>
        <w:t>The existing height of the existing ‘Mills Building’ of 20.98m</w:t>
      </w:r>
      <w:r w:rsidR="00AE73C9" w:rsidRPr="00182B21">
        <w:rPr>
          <w:sz w:val="20"/>
          <w:szCs w:val="28"/>
        </w:rPr>
        <w:t>.</w:t>
      </w:r>
    </w:p>
    <w:p w14:paraId="6A276A74" w14:textId="158EF8F1" w:rsidR="00D31B0B" w:rsidRPr="00182B21" w:rsidRDefault="00D31B0B" w:rsidP="00706D5D">
      <w:pPr>
        <w:pStyle w:val="ESNumberedBullet1"/>
        <w:spacing w:before="120" w:line="280" w:lineRule="atLeast"/>
        <w:rPr>
          <w:sz w:val="20"/>
          <w:szCs w:val="28"/>
        </w:rPr>
      </w:pPr>
      <w:r w:rsidRPr="00182B21">
        <w:rPr>
          <w:sz w:val="20"/>
          <w:szCs w:val="28"/>
        </w:rPr>
        <w:t xml:space="preserve">The </w:t>
      </w:r>
      <w:r w:rsidR="00743BD1" w:rsidRPr="00182B21">
        <w:rPr>
          <w:sz w:val="20"/>
          <w:szCs w:val="28"/>
        </w:rPr>
        <w:t xml:space="preserve">existing </w:t>
      </w:r>
      <w:r w:rsidRPr="00182B21">
        <w:rPr>
          <w:sz w:val="20"/>
          <w:szCs w:val="28"/>
        </w:rPr>
        <w:t xml:space="preserve">height of the ‘DHHS Building’ </w:t>
      </w:r>
      <w:r w:rsidR="00E4117C" w:rsidRPr="00182B21">
        <w:rPr>
          <w:sz w:val="20"/>
          <w:szCs w:val="28"/>
        </w:rPr>
        <w:t xml:space="preserve">to the north </w:t>
      </w:r>
      <w:r w:rsidRPr="00182B21">
        <w:rPr>
          <w:sz w:val="20"/>
          <w:szCs w:val="28"/>
        </w:rPr>
        <w:t>of 14.78m</w:t>
      </w:r>
      <w:r w:rsidR="00AE73C9" w:rsidRPr="00182B21">
        <w:rPr>
          <w:sz w:val="20"/>
          <w:szCs w:val="28"/>
        </w:rPr>
        <w:t>.</w:t>
      </w:r>
    </w:p>
    <w:p w14:paraId="052BD463" w14:textId="28F0F552" w:rsidR="00D31B0B" w:rsidRPr="00182B21" w:rsidRDefault="00D31B0B" w:rsidP="00706D5D">
      <w:pPr>
        <w:pStyle w:val="ESNumberedBullet1"/>
        <w:spacing w:before="120" w:line="280" w:lineRule="atLeast"/>
        <w:rPr>
          <w:sz w:val="20"/>
          <w:szCs w:val="28"/>
        </w:rPr>
      </w:pPr>
      <w:r w:rsidRPr="00182B21">
        <w:rPr>
          <w:sz w:val="20"/>
          <w:szCs w:val="28"/>
        </w:rPr>
        <w:t>The wide road reserves of Arden Street and Macaulay Road of 30m and 43m respectively</w:t>
      </w:r>
      <w:r w:rsidR="00AE73C9" w:rsidRPr="00182B21">
        <w:rPr>
          <w:sz w:val="20"/>
          <w:szCs w:val="28"/>
        </w:rPr>
        <w:t>.</w:t>
      </w:r>
    </w:p>
    <w:p w14:paraId="7D7F912F" w14:textId="3F000502" w:rsidR="00D31B0B" w:rsidRPr="00182B21" w:rsidRDefault="00D31B0B" w:rsidP="00706D5D">
      <w:pPr>
        <w:pStyle w:val="ESNumberedBullet1"/>
        <w:spacing w:before="120" w:line="280" w:lineRule="atLeast"/>
        <w:rPr>
          <w:sz w:val="20"/>
          <w:szCs w:val="28"/>
        </w:rPr>
      </w:pPr>
      <w:r w:rsidRPr="00182B21">
        <w:rPr>
          <w:sz w:val="20"/>
          <w:szCs w:val="28"/>
        </w:rPr>
        <w:t>The less sensitive interfaces to Arden Street and Macaulay Road created by these high traffic volume streets</w:t>
      </w:r>
      <w:r w:rsidR="00AE73C9" w:rsidRPr="00182B21">
        <w:rPr>
          <w:sz w:val="20"/>
          <w:szCs w:val="28"/>
        </w:rPr>
        <w:t>.</w:t>
      </w:r>
    </w:p>
    <w:p w14:paraId="161CC957" w14:textId="7AB28540" w:rsidR="00E4117C" w:rsidRPr="00182B21" w:rsidRDefault="00E4117C" w:rsidP="00706D5D">
      <w:pPr>
        <w:pStyle w:val="ESNumberedBullet1"/>
        <w:spacing w:before="120" w:line="280" w:lineRule="atLeast"/>
        <w:rPr>
          <w:sz w:val="20"/>
          <w:szCs w:val="28"/>
        </w:rPr>
      </w:pPr>
      <w:r w:rsidRPr="00182B21">
        <w:rPr>
          <w:sz w:val="20"/>
          <w:szCs w:val="28"/>
        </w:rPr>
        <w:t xml:space="preserve">The interface to the Arden Precinct to </w:t>
      </w:r>
      <w:r w:rsidR="00A51042" w:rsidRPr="00182B21">
        <w:rPr>
          <w:sz w:val="20"/>
          <w:szCs w:val="28"/>
        </w:rPr>
        <w:t>southwest</w:t>
      </w:r>
      <w:r w:rsidRPr="00182B21">
        <w:rPr>
          <w:sz w:val="20"/>
          <w:szCs w:val="28"/>
        </w:rPr>
        <w:t xml:space="preserve"> where building heights will be </w:t>
      </w:r>
      <w:r w:rsidR="0077165D" w:rsidRPr="00182B21">
        <w:rPr>
          <w:sz w:val="20"/>
          <w:szCs w:val="28"/>
        </w:rPr>
        <w:t>6</w:t>
      </w:r>
      <w:r w:rsidR="00143A2D" w:rsidRPr="00182B21">
        <w:rPr>
          <w:sz w:val="20"/>
          <w:szCs w:val="28"/>
        </w:rPr>
        <w:t xml:space="preserve"> - 1</w:t>
      </w:r>
      <w:r w:rsidR="0077165D" w:rsidRPr="00182B21">
        <w:rPr>
          <w:sz w:val="20"/>
          <w:szCs w:val="28"/>
        </w:rPr>
        <w:t>8 storeys</w:t>
      </w:r>
      <w:r w:rsidR="00AE73C9" w:rsidRPr="00182B21">
        <w:rPr>
          <w:sz w:val="20"/>
          <w:szCs w:val="28"/>
        </w:rPr>
        <w:t>.</w:t>
      </w:r>
    </w:p>
    <w:p w14:paraId="70AD3500" w14:textId="1F84A168" w:rsidR="00D31B0B" w:rsidRDefault="00D31B0B" w:rsidP="00153AC4"/>
    <w:p w14:paraId="3E30C55C" w14:textId="7A9046D7" w:rsidR="0077165D" w:rsidRDefault="0077165D" w:rsidP="00153AC4">
      <w:r>
        <w:rPr>
          <w:noProof/>
        </w:rPr>
        <w:drawing>
          <wp:inline distT="0" distB="0" distL="0" distR="0" wp14:anchorId="7C91817E" wp14:editId="717F2CBF">
            <wp:extent cx="4693471" cy="4199861"/>
            <wp:effectExtent l="0" t="0" r="0" b="0"/>
            <wp:docPr id="8" name="Picture 8" descr="Map showing accepted maximum building heights of sites surrounding the subject site.&#10;&#10;Building heights south of Arden Street can be built up to 4 storeys. Building north of Arden Street and the subject site can be built to 3-4 storeys. &#10;&#10;Buildings in the Arden precinct have maximum building heights varying from 3 storeys to 40 stor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 showing accepted maximum building heights of sites surrounding the subject site.&#10;&#10;Building heights south of Arden Street can be built up to 4 storeys. Building north of Arden Street and the subject site can be built to 3-4 storeys. &#10;&#10;Buildings in the Arden precinct have maximum building heights varying from 3 storeys to 40 storeys.  "/>
                    <pic:cNvPicPr/>
                  </pic:nvPicPr>
                  <pic:blipFill>
                    <a:blip r:embed="rId21"/>
                    <a:stretch>
                      <a:fillRect/>
                    </a:stretch>
                  </pic:blipFill>
                  <pic:spPr>
                    <a:xfrm>
                      <a:off x="0" y="0"/>
                      <a:ext cx="4714222" cy="4218430"/>
                    </a:xfrm>
                    <a:prstGeom prst="rect">
                      <a:avLst/>
                    </a:prstGeom>
                  </pic:spPr>
                </pic:pic>
              </a:graphicData>
            </a:graphic>
          </wp:inline>
        </w:drawing>
      </w:r>
      <w:r w:rsidRPr="0077165D">
        <w:rPr>
          <w:noProof/>
        </w:rPr>
        <w:t xml:space="preserve"> </w:t>
      </w:r>
      <w:r>
        <w:rPr>
          <w:noProof/>
        </w:rPr>
        <w:drawing>
          <wp:inline distT="0" distB="0" distL="0" distR="0" wp14:anchorId="22A2FA1B" wp14:editId="3D9278DA">
            <wp:extent cx="1158949" cy="4190047"/>
            <wp:effectExtent l="0" t="0" r="317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74294" cy="4245526"/>
                    </a:xfrm>
                    <a:prstGeom prst="rect">
                      <a:avLst/>
                    </a:prstGeom>
                  </pic:spPr>
                </pic:pic>
              </a:graphicData>
            </a:graphic>
          </wp:inline>
        </w:drawing>
      </w:r>
    </w:p>
    <w:p w14:paraId="384827BF" w14:textId="18AC1F65" w:rsidR="0077165D" w:rsidRPr="00743BD1" w:rsidRDefault="0077165D" w:rsidP="0077165D">
      <w:pPr>
        <w:pStyle w:val="Caption"/>
        <w:rPr>
          <w:i w:val="0"/>
          <w:iCs w:val="0"/>
        </w:rPr>
      </w:pPr>
      <w:bookmarkStart w:id="29" w:name="_Toc149851762"/>
      <w:r w:rsidRPr="00743BD1">
        <w:rPr>
          <w:i w:val="0"/>
          <w:iCs w:val="0"/>
        </w:rPr>
        <w:t xml:space="preserve">Figure </w:t>
      </w:r>
      <w:r w:rsidRPr="00743BD1">
        <w:rPr>
          <w:i w:val="0"/>
          <w:iCs w:val="0"/>
        </w:rPr>
        <w:fldChar w:fldCharType="begin"/>
      </w:r>
      <w:r w:rsidRPr="00743BD1">
        <w:rPr>
          <w:i w:val="0"/>
          <w:iCs w:val="0"/>
        </w:rPr>
        <w:instrText xml:space="preserve"> SEQ Figure \* ARABIC </w:instrText>
      </w:r>
      <w:r w:rsidRPr="00743BD1">
        <w:rPr>
          <w:i w:val="0"/>
          <w:iCs w:val="0"/>
        </w:rPr>
        <w:fldChar w:fldCharType="separate"/>
      </w:r>
      <w:r w:rsidR="007F66EC">
        <w:rPr>
          <w:i w:val="0"/>
          <w:iCs w:val="0"/>
          <w:noProof/>
        </w:rPr>
        <w:t>2</w:t>
      </w:r>
      <w:r w:rsidRPr="00743BD1">
        <w:rPr>
          <w:i w:val="0"/>
          <w:iCs w:val="0"/>
        </w:rPr>
        <w:fldChar w:fldCharType="end"/>
      </w:r>
      <w:r>
        <w:rPr>
          <w:i w:val="0"/>
          <w:iCs w:val="0"/>
        </w:rPr>
        <w:t xml:space="preserve"> </w:t>
      </w:r>
      <w:r>
        <w:rPr>
          <w:i w:val="0"/>
          <w:iCs w:val="0"/>
        </w:rPr>
        <w:tab/>
        <w:t>Building Height Context</w:t>
      </w:r>
      <w:bookmarkEnd w:id="29"/>
    </w:p>
    <w:p w14:paraId="642E9B0E" w14:textId="1785FE89" w:rsidR="0077165D" w:rsidRDefault="0077165D" w:rsidP="0077165D">
      <w:pPr>
        <w:pStyle w:val="SourceNotes"/>
      </w:pPr>
      <w:r w:rsidRPr="00C63591">
        <w:t xml:space="preserve">Source:   </w:t>
      </w:r>
      <w:r>
        <w:t xml:space="preserve">Ethos Urban </w:t>
      </w:r>
      <w:r w:rsidR="00647B78">
        <w:t xml:space="preserve">– Excerpt from </w:t>
      </w:r>
      <w:r w:rsidR="00743BD1">
        <w:t>Appendix</w:t>
      </w:r>
      <w:r w:rsidR="00647B78">
        <w:t xml:space="preserve"> C</w:t>
      </w:r>
    </w:p>
    <w:p w14:paraId="7F533E60" w14:textId="77777777" w:rsidR="002724C5" w:rsidRDefault="002724C5" w:rsidP="0077165D">
      <w:pPr>
        <w:pStyle w:val="SourceNotes"/>
      </w:pPr>
    </w:p>
    <w:p w14:paraId="124CAA2D" w14:textId="77777777" w:rsidR="002724C5" w:rsidRDefault="002724C5" w:rsidP="008C6A3A">
      <w:pPr>
        <w:keepNext/>
      </w:pPr>
      <w:r>
        <w:rPr>
          <w:noProof/>
        </w:rPr>
        <w:lastRenderedPageBreak/>
        <w:drawing>
          <wp:inline distT="0" distB="0" distL="0" distR="0" wp14:anchorId="7366028D" wp14:editId="14788648">
            <wp:extent cx="5822830" cy="4118142"/>
            <wp:effectExtent l="0" t="0" r="6985" b="0"/>
            <wp:docPr id="24" name="Picture 24" descr="Map showing the extent and boundary of the Arden Structure Plan in relation to the subject 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ap showing the extent and boundary of the Arden Structure Plan in relation to the subject site.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22830" cy="4118142"/>
                    </a:xfrm>
                    <a:prstGeom prst="rect">
                      <a:avLst/>
                    </a:prstGeom>
                  </pic:spPr>
                </pic:pic>
              </a:graphicData>
            </a:graphic>
          </wp:inline>
        </w:drawing>
      </w:r>
    </w:p>
    <w:p w14:paraId="1446CCEE" w14:textId="16AB1F41" w:rsidR="002724C5" w:rsidRPr="00C63591" w:rsidRDefault="002724C5" w:rsidP="008C6A3A">
      <w:pPr>
        <w:pStyle w:val="Caption"/>
      </w:pPr>
      <w:bookmarkStart w:id="30" w:name="_Toc149851763"/>
      <w:r>
        <w:t xml:space="preserve">Figure </w:t>
      </w:r>
      <w:fldSimple w:instr=" SEQ Figure \* ARABIC ">
        <w:r w:rsidR="007F66EC">
          <w:rPr>
            <w:noProof/>
          </w:rPr>
          <w:t>3</w:t>
        </w:r>
      </w:fldSimple>
      <w:r>
        <w:tab/>
      </w:r>
      <w:r w:rsidRPr="00401145">
        <w:rPr>
          <w:i w:val="0"/>
          <w:iCs w:val="0"/>
        </w:rPr>
        <w:t>Locational Context Map</w:t>
      </w:r>
      <w:bookmarkEnd w:id="30"/>
    </w:p>
    <w:p w14:paraId="0CB769E4" w14:textId="77777777" w:rsidR="002724C5" w:rsidRDefault="002724C5" w:rsidP="002724C5">
      <w:pPr>
        <w:pStyle w:val="SourceNotes"/>
      </w:pPr>
      <w:r w:rsidRPr="00C63591">
        <w:t xml:space="preserve">Source:   </w:t>
      </w:r>
      <w:r>
        <w:t>Ethos Urban &amp; NearMap</w:t>
      </w:r>
    </w:p>
    <w:p w14:paraId="6AEF4C5C" w14:textId="77777777" w:rsidR="00A742FB" w:rsidRPr="003F4B17" w:rsidRDefault="00A742FB" w:rsidP="008C6A3A">
      <w:pPr>
        <w:pStyle w:val="Heading3NoNumbers"/>
      </w:pPr>
      <w:r w:rsidRPr="008C6A3A">
        <w:t>West</w:t>
      </w:r>
    </w:p>
    <w:p w14:paraId="269BB067" w14:textId="078F53BC" w:rsidR="005B7449" w:rsidRDefault="007A36F5" w:rsidP="00706D5D">
      <w:pPr>
        <w:spacing w:before="120" w:line="280" w:lineRule="atLeast"/>
        <w:jc w:val="both"/>
        <w:rPr>
          <w:sz w:val="20"/>
          <w:szCs w:val="28"/>
        </w:rPr>
      </w:pPr>
      <w:r w:rsidRPr="00182B21">
        <w:rPr>
          <w:sz w:val="20"/>
          <w:szCs w:val="28"/>
        </w:rPr>
        <w:t>The North Melbourne Recreation Reserve and the Gardiner Reserve</w:t>
      </w:r>
      <w:r w:rsidR="005B7449" w:rsidRPr="00182B21">
        <w:rPr>
          <w:sz w:val="20"/>
          <w:szCs w:val="28"/>
        </w:rPr>
        <w:t xml:space="preserve"> are both located west of the subject site, immediately west of Macaulay Road and Dryburgh Street respectively</w:t>
      </w:r>
      <w:r w:rsidRPr="00182B21">
        <w:rPr>
          <w:sz w:val="20"/>
          <w:szCs w:val="28"/>
        </w:rPr>
        <w:t xml:space="preserve">. Both reserves are within the Public Park and Recreation Zone. </w:t>
      </w:r>
      <w:r w:rsidR="005B7449" w:rsidRPr="00182B21">
        <w:rPr>
          <w:sz w:val="20"/>
          <w:szCs w:val="28"/>
        </w:rPr>
        <w:t xml:space="preserve">The precinct boundary of the Arden Structure Plan is also located immediately west of the subject site, as shown in </w:t>
      </w:r>
      <w:r w:rsidR="005B7449" w:rsidRPr="00706D5D">
        <w:rPr>
          <w:b/>
          <w:bCs/>
          <w:sz w:val="20"/>
          <w:szCs w:val="28"/>
        </w:rPr>
        <w:t xml:space="preserve">Figure </w:t>
      </w:r>
      <w:r w:rsidR="002724C5" w:rsidRPr="00706D5D">
        <w:rPr>
          <w:b/>
          <w:bCs/>
          <w:sz w:val="20"/>
          <w:szCs w:val="28"/>
        </w:rPr>
        <w:t>3</w:t>
      </w:r>
      <w:r w:rsidR="005B7449" w:rsidRPr="00706D5D">
        <w:rPr>
          <w:sz w:val="20"/>
          <w:szCs w:val="28"/>
        </w:rPr>
        <w:t xml:space="preserve">. </w:t>
      </w:r>
    </w:p>
    <w:p w14:paraId="76747B66" w14:textId="77777777" w:rsidR="00182B21" w:rsidRPr="00182B21" w:rsidRDefault="00182B21" w:rsidP="00706D5D">
      <w:pPr>
        <w:spacing w:before="120" w:line="280" w:lineRule="atLeast"/>
        <w:jc w:val="both"/>
        <w:rPr>
          <w:sz w:val="20"/>
          <w:szCs w:val="28"/>
        </w:rPr>
      </w:pPr>
    </w:p>
    <w:p w14:paraId="49BC22EB" w14:textId="7D462892" w:rsidR="005B7449" w:rsidRDefault="007A36F5" w:rsidP="00706D5D">
      <w:pPr>
        <w:spacing w:before="120" w:line="280" w:lineRule="atLeast"/>
        <w:jc w:val="both"/>
        <w:rPr>
          <w:sz w:val="20"/>
          <w:szCs w:val="28"/>
        </w:rPr>
      </w:pPr>
      <w:r w:rsidRPr="00182B21">
        <w:rPr>
          <w:sz w:val="20"/>
          <w:szCs w:val="28"/>
        </w:rPr>
        <w:t xml:space="preserve">Macaulay Road is a boulevard type road of approximately 30m </w:t>
      </w:r>
      <w:r w:rsidR="00296D17" w:rsidRPr="00182B21">
        <w:rPr>
          <w:sz w:val="20"/>
          <w:szCs w:val="28"/>
        </w:rPr>
        <w:t>width</w:t>
      </w:r>
      <w:r w:rsidRPr="00182B21">
        <w:rPr>
          <w:sz w:val="20"/>
          <w:szCs w:val="28"/>
        </w:rPr>
        <w:t xml:space="preserve">. The road consists of two vehicle lanes and an unprotected bicycle lane on each side. </w:t>
      </w:r>
      <w:r w:rsidR="002C1441" w:rsidRPr="00182B21">
        <w:rPr>
          <w:sz w:val="20"/>
          <w:szCs w:val="28"/>
        </w:rPr>
        <w:t xml:space="preserve">Vegetation </w:t>
      </w:r>
      <w:r w:rsidR="007A1A47" w:rsidRPr="00182B21">
        <w:rPr>
          <w:sz w:val="20"/>
          <w:szCs w:val="28"/>
        </w:rPr>
        <w:t>on</w:t>
      </w:r>
      <w:r w:rsidR="002C1441" w:rsidRPr="00182B21">
        <w:rPr>
          <w:sz w:val="20"/>
          <w:szCs w:val="28"/>
        </w:rPr>
        <w:t xml:space="preserve"> Macaulay Road consists of medium to large trees</w:t>
      </w:r>
      <w:r w:rsidR="007A1A47" w:rsidRPr="00182B21">
        <w:rPr>
          <w:sz w:val="20"/>
          <w:szCs w:val="28"/>
        </w:rPr>
        <w:t xml:space="preserve"> along the road reserve and edge planting on the south-western edge of Gardiner Reserve.</w:t>
      </w:r>
      <w:r w:rsidR="0062021D" w:rsidRPr="00182B21">
        <w:rPr>
          <w:sz w:val="20"/>
          <w:szCs w:val="28"/>
        </w:rPr>
        <w:t xml:space="preserve"> </w:t>
      </w:r>
    </w:p>
    <w:p w14:paraId="4DE27340" w14:textId="77777777" w:rsidR="00182B21" w:rsidRPr="00182B21" w:rsidRDefault="00182B21" w:rsidP="00706D5D">
      <w:pPr>
        <w:spacing w:before="120" w:line="280" w:lineRule="atLeast"/>
        <w:jc w:val="both"/>
        <w:rPr>
          <w:sz w:val="20"/>
          <w:szCs w:val="28"/>
        </w:rPr>
      </w:pPr>
    </w:p>
    <w:p w14:paraId="1878A1B8" w14:textId="68C7C680" w:rsidR="0062021D" w:rsidRDefault="0062021D" w:rsidP="00706D5D">
      <w:pPr>
        <w:spacing w:before="120" w:line="280" w:lineRule="atLeast"/>
        <w:jc w:val="both"/>
        <w:rPr>
          <w:sz w:val="20"/>
          <w:szCs w:val="28"/>
        </w:rPr>
      </w:pPr>
      <w:r w:rsidRPr="00182B21">
        <w:rPr>
          <w:sz w:val="20"/>
          <w:szCs w:val="28"/>
        </w:rPr>
        <w:t>Arden Street is approximately 22m wide and incorporates four traffic lanes (two in each direction)</w:t>
      </w:r>
      <w:r w:rsidR="00F225BF" w:rsidRPr="00182B21">
        <w:rPr>
          <w:sz w:val="20"/>
          <w:szCs w:val="28"/>
        </w:rPr>
        <w:t>, a right-turn lane</w:t>
      </w:r>
      <w:r w:rsidR="00B453F2" w:rsidRPr="00182B21">
        <w:rPr>
          <w:sz w:val="20"/>
          <w:szCs w:val="28"/>
        </w:rPr>
        <w:t xml:space="preserve">, </w:t>
      </w:r>
      <w:r w:rsidRPr="00182B21">
        <w:rPr>
          <w:sz w:val="20"/>
          <w:szCs w:val="28"/>
        </w:rPr>
        <w:t>on-street parking</w:t>
      </w:r>
      <w:r w:rsidR="00F225BF" w:rsidRPr="00182B21">
        <w:rPr>
          <w:sz w:val="20"/>
          <w:szCs w:val="28"/>
        </w:rPr>
        <w:t>,</w:t>
      </w:r>
      <w:r w:rsidRPr="00182B21">
        <w:rPr>
          <w:sz w:val="20"/>
          <w:szCs w:val="28"/>
        </w:rPr>
        <w:t xml:space="preserve"> and unprotected bike lanes on both sides</w:t>
      </w:r>
      <w:r w:rsidR="00182B21" w:rsidRPr="00182B21">
        <w:rPr>
          <w:sz w:val="20"/>
          <w:szCs w:val="28"/>
        </w:rPr>
        <w:t xml:space="preserve">. </w:t>
      </w:r>
      <w:r w:rsidRPr="00182B21">
        <w:rPr>
          <w:sz w:val="20"/>
          <w:szCs w:val="28"/>
        </w:rPr>
        <w:t xml:space="preserve">Arden Street contains minimal landscaping on the south side. Most vegetation is within or adjacent to the North Melbourne Recreation Reserve, featuring medium to large leafy trees and edge planting. A small number of kerbside small to medium trees are sparsely planted on other parts of Arden Street. </w:t>
      </w:r>
    </w:p>
    <w:p w14:paraId="36EBEBA0" w14:textId="77777777" w:rsidR="00182B21" w:rsidRPr="00182B21" w:rsidRDefault="00182B21" w:rsidP="00706D5D">
      <w:pPr>
        <w:spacing w:before="120" w:line="280" w:lineRule="atLeast"/>
        <w:jc w:val="both"/>
        <w:rPr>
          <w:sz w:val="20"/>
          <w:szCs w:val="28"/>
        </w:rPr>
      </w:pPr>
    </w:p>
    <w:p w14:paraId="07314CFD" w14:textId="003163C5" w:rsidR="0062021D" w:rsidRDefault="0062021D" w:rsidP="00706D5D">
      <w:pPr>
        <w:spacing w:before="120" w:line="280" w:lineRule="atLeast"/>
        <w:jc w:val="both"/>
        <w:rPr>
          <w:sz w:val="20"/>
          <w:szCs w:val="28"/>
        </w:rPr>
      </w:pPr>
      <w:r w:rsidRPr="00182B21">
        <w:rPr>
          <w:sz w:val="20"/>
          <w:szCs w:val="28"/>
        </w:rPr>
        <w:t xml:space="preserve">Development south of Arden Street consists of up to three-storey commercial and retail development, typically built to all site boundaries, featuring painted concrete or cement sheet external walls with a varied colour palette that includes bright yellow, black, </w:t>
      </w:r>
      <w:r w:rsidR="00B229E7" w:rsidRPr="00182B21">
        <w:rPr>
          <w:sz w:val="20"/>
          <w:szCs w:val="28"/>
        </w:rPr>
        <w:t>green,</w:t>
      </w:r>
      <w:r w:rsidRPr="00182B21">
        <w:rPr>
          <w:sz w:val="20"/>
          <w:szCs w:val="28"/>
        </w:rPr>
        <w:t xml:space="preserve"> and different tones of grey. All development along Arden Street is viewed as featuring flat roofs from the street.</w:t>
      </w:r>
    </w:p>
    <w:p w14:paraId="10039AE1" w14:textId="77777777" w:rsidR="00182B21" w:rsidRPr="00182B21" w:rsidRDefault="00182B21" w:rsidP="00706D5D">
      <w:pPr>
        <w:spacing w:before="120" w:line="280" w:lineRule="atLeast"/>
        <w:jc w:val="both"/>
        <w:rPr>
          <w:sz w:val="20"/>
          <w:szCs w:val="28"/>
        </w:rPr>
      </w:pPr>
    </w:p>
    <w:p w14:paraId="3175093E" w14:textId="5AD59CB6" w:rsidR="00EA2ED5" w:rsidRPr="00182B21" w:rsidRDefault="0062021D" w:rsidP="00706D5D">
      <w:pPr>
        <w:spacing w:before="120" w:line="280" w:lineRule="atLeast"/>
        <w:jc w:val="both"/>
        <w:rPr>
          <w:sz w:val="20"/>
          <w:szCs w:val="28"/>
        </w:rPr>
      </w:pPr>
      <w:r w:rsidRPr="00182B21">
        <w:rPr>
          <w:sz w:val="20"/>
          <w:szCs w:val="28"/>
        </w:rPr>
        <w:t>The new Arden Train Station will be located approximately 380m south</w:t>
      </w:r>
      <w:r w:rsidR="00C4309C" w:rsidRPr="00182B21">
        <w:rPr>
          <w:sz w:val="20"/>
          <w:szCs w:val="28"/>
        </w:rPr>
        <w:t>-</w:t>
      </w:r>
      <w:r w:rsidRPr="00182B21">
        <w:rPr>
          <w:sz w:val="20"/>
          <w:szCs w:val="28"/>
        </w:rPr>
        <w:t xml:space="preserve">west of the subject site. </w:t>
      </w:r>
      <w:r w:rsidR="00296D17" w:rsidRPr="00182B21">
        <w:rPr>
          <w:sz w:val="20"/>
          <w:szCs w:val="28"/>
        </w:rPr>
        <w:t xml:space="preserve">Buildings of significant </w:t>
      </w:r>
      <w:r w:rsidRPr="00182B21">
        <w:rPr>
          <w:sz w:val="20"/>
          <w:szCs w:val="28"/>
        </w:rPr>
        <w:t xml:space="preserve">heights are expected </w:t>
      </w:r>
      <w:r w:rsidR="00296D17" w:rsidRPr="00182B21">
        <w:rPr>
          <w:sz w:val="20"/>
          <w:szCs w:val="28"/>
        </w:rPr>
        <w:t xml:space="preserve">along </w:t>
      </w:r>
      <w:r w:rsidRPr="00182B21">
        <w:rPr>
          <w:sz w:val="20"/>
          <w:szCs w:val="28"/>
        </w:rPr>
        <w:t xml:space="preserve">Arden Street, </w:t>
      </w:r>
      <w:r w:rsidR="00296D17" w:rsidRPr="00182B21">
        <w:rPr>
          <w:sz w:val="20"/>
          <w:szCs w:val="28"/>
        </w:rPr>
        <w:t xml:space="preserve">in line with the aspirations of </w:t>
      </w:r>
      <w:r w:rsidRPr="00182B21">
        <w:rPr>
          <w:sz w:val="20"/>
          <w:szCs w:val="28"/>
        </w:rPr>
        <w:t xml:space="preserve">the Arden </w:t>
      </w:r>
      <w:r w:rsidR="00296D17" w:rsidRPr="00182B21">
        <w:rPr>
          <w:sz w:val="20"/>
          <w:szCs w:val="28"/>
        </w:rPr>
        <w:t>Structure Plan</w:t>
      </w:r>
      <w:r w:rsidR="004F519A" w:rsidRPr="00182B21">
        <w:rPr>
          <w:sz w:val="20"/>
          <w:szCs w:val="28"/>
        </w:rPr>
        <w:t xml:space="preserve">. </w:t>
      </w:r>
    </w:p>
    <w:p w14:paraId="4010FB30" w14:textId="77777777" w:rsidR="00A742FB" w:rsidRPr="00182B21" w:rsidRDefault="00A742FB" w:rsidP="00A742FB">
      <w:pPr>
        <w:pStyle w:val="Heading4"/>
        <w:rPr>
          <w:sz w:val="20"/>
          <w:szCs w:val="28"/>
        </w:rPr>
      </w:pPr>
      <w:r w:rsidRPr="00182B21">
        <w:rPr>
          <w:sz w:val="20"/>
          <w:szCs w:val="28"/>
        </w:rPr>
        <w:lastRenderedPageBreak/>
        <w:t>South</w:t>
      </w:r>
    </w:p>
    <w:p w14:paraId="116C4744" w14:textId="2A44B807" w:rsidR="005D2DF2" w:rsidRPr="00182B21" w:rsidRDefault="00A742FB" w:rsidP="00706D5D">
      <w:pPr>
        <w:spacing w:before="120" w:line="280" w:lineRule="atLeast"/>
        <w:jc w:val="both"/>
        <w:rPr>
          <w:sz w:val="20"/>
          <w:szCs w:val="28"/>
        </w:rPr>
      </w:pPr>
      <w:r w:rsidRPr="00182B21">
        <w:rPr>
          <w:sz w:val="20"/>
          <w:szCs w:val="28"/>
        </w:rPr>
        <w:t>Arden Street is located immediately to the south of the site.</w:t>
      </w:r>
      <w:r w:rsidR="00B453F2" w:rsidRPr="00182B21">
        <w:rPr>
          <w:sz w:val="20"/>
          <w:szCs w:val="28"/>
        </w:rPr>
        <w:t xml:space="preserve"> This portion of Arden Street has four traffic lanes (two in each direction) and one lane for turning right, as well as on-street parking on the north side and unprotected bike lanes on both sides. Landscaping consists of scattered small trees along both footpaths. </w:t>
      </w:r>
      <w:r w:rsidR="005D2DF2" w:rsidRPr="00182B21">
        <w:rPr>
          <w:sz w:val="20"/>
          <w:szCs w:val="28"/>
        </w:rPr>
        <w:t xml:space="preserve"> </w:t>
      </w:r>
    </w:p>
    <w:p w14:paraId="7B1A94D6" w14:textId="77777777" w:rsidR="005D2DF2" w:rsidRPr="00182B21" w:rsidRDefault="005D2DF2" w:rsidP="00706D5D">
      <w:pPr>
        <w:spacing w:before="120" w:line="280" w:lineRule="atLeast"/>
        <w:jc w:val="both"/>
        <w:rPr>
          <w:sz w:val="20"/>
          <w:szCs w:val="28"/>
        </w:rPr>
      </w:pPr>
    </w:p>
    <w:p w14:paraId="0751AB59" w14:textId="26578847" w:rsidR="004B3DC1" w:rsidRPr="00182B21" w:rsidRDefault="004B3DC1" w:rsidP="00706D5D">
      <w:pPr>
        <w:spacing w:before="120" w:line="280" w:lineRule="atLeast"/>
        <w:jc w:val="both"/>
        <w:rPr>
          <w:sz w:val="20"/>
          <w:szCs w:val="28"/>
        </w:rPr>
      </w:pPr>
      <w:r w:rsidRPr="00182B21">
        <w:rPr>
          <w:sz w:val="20"/>
          <w:szCs w:val="28"/>
        </w:rPr>
        <w:t xml:space="preserve">Land south of the subject site is affected by a heritage overlay. </w:t>
      </w:r>
    </w:p>
    <w:p w14:paraId="48FB33B8" w14:textId="77777777" w:rsidR="00B453F2" w:rsidRPr="00182B21" w:rsidRDefault="00B453F2" w:rsidP="00706D5D">
      <w:pPr>
        <w:spacing w:before="120" w:line="280" w:lineRule="atLeast"/>
        <w:jc w:val="both"/>
        <w:rPr>
          <w:sz w:val="20"/>
          <w:szCs w:val="28"/>
        </w:rPr>
      </w:pPr>
    </w:p>
    <w:p w14:paraId="7346B9AB" w14:textId="728D65C4" w:rsidR="007C4D34" w:rsidRPr="00182B21" w:rsidRDefault="00A742FB" w:rsidP="00706D5D">
      <w:pPr>
        <w:spacing w:before="120" w:line="280" w:lineRule="atLeast"/>
        <w:jc w:val="both"/>
        <w:rPr>
          <w:sz w:val="20"/>
          <w:szCs w:val="28"/>
        </w:rPr>
      </w:pPr>
      <w:r w:rsidRPr="00182B21">
        <w:rPr>
          <w:sz w:val="20"/>
          <w:szCs w:val="28"/>
        </w:rPr>
        <w:t>A service station</w:t>
      </w:r>
      <w:r w:rsidR="007C4D34" w:rsidRPr="00182B21">
        <w:rPr>
          <w:sz w:val="20"/>
          <w:szCs w:val="28"/>
        </w:rPr>
        <w:t xml:space="preserve">, a </w:t>
      </w:r>
      <w:r w:rsidRPr="00182B21">
        <w:rPr>
          <w:sz w:val="20"/>
          <w:szCs w:val="28"/>
        </w:rPr>
        <w:t>single</w:t>
      </w:r>
      <w:r w:rsidR="007C4D34" w:rsidRPr="00182B21">
        <w:rPr>
          <w:sz w:val="20"/>
          <w:szCs w:val="28"/>
        </w:rPr>
        <w:t>-</w:t>
      </w:r>
      <w:r w:rsidRPr="00182B21">
        <w:rPr>
          <w:sz w:val="20"/>
          <w:szCs w:val="28"/>
        </w:rPr>
        <w:t xml:space="preserve">storey commercial building </w:t>
      </w:r>
      <w:r w:rsidR="007C4D34" w:rsidRPr="00182B21">
        <w:rPr>
          <w:sz w:val="20"/>
          <w:szCs w:val="28"/>
        </w:rPr>
        <w:t xml:space="preserve">and a two-storey townhouse style development are located opposite the subject site on the southern side of Arden Street. </w:t>
      </w:r>
      <w:r w:rsidR="00B453F2" w:rsidRPr="00182B21">
        <w:rPr>
          <w:sz w:val="20"/>
          <w:szCs w:val="28"/>
        </w:rPr>
        <w:t xml:space="preserve">The commercial property features exposed dark grey and ruby brickwork. </w:t>
      </w:r>
    </w:p>
    <w:p w14:paraId="0E8A2687" w14:textId="77777777" w:rsidR="00785D62" w:rsidRPr="00182B21" w:rsidRDefault="00785D62" w:rsidP="00706D5D">
      <w:pPr>
        <w:spacing w:before="120" w:line="280" w:lineRule="atLeast"/>
        <w:jc w:val="both"/>
        <w:rPr>
          <w:sz w:val="20"/>
          <w:szCs w:val="28"/>
        </w:rPr>
      </w:pPr>
    </w:p>
    <w:p w14:paraId="66814344" w14:textId="36E1515F" w:rsidR="00A742FB" w:rsidRDefault="007C4D34" w:rsidP="00706D5D">
      <w:pPr>
        <w:spacing w:before="120" w:line="280" w:lineRule="atLeast"/>
        <w:jc w:val="both"/>
        <w:rPr>
          <w:sz w:val="20"/>
          <w:szCs w:val="28"/>
        </w:rPr>
      </w:pPr>
      <w:r w:rsidRPr="00182B21">
        <w:rPr>
          <w:sz w:val="20"/>
          <w:szCs w:val="28"/>
        </w:rPr>
        <w:t>The residential properties</w:t>
      </w:r>
      <w:r w:rsidR="00B453F2" w:rsidRPr="00182B21">
        <w:rPr>
          <w:sz w:val="20"/>
          <w:szCs w:val="28"/>
        </w:rPr>
        <w:t xml:space="preserve"> have an earthy colour painted concrete. All dwellings </w:t>
      </w:r>
      <w:r w:rsidR="00A742FB" w:rsidRPr="00182B21">
        <w:rPr>
          <w:sz w:val="20"/>
          <w:szCs w:val="28"/>
        </w:rPr>
        <w:t xml:space="preserve">front Lothian </w:t>
      </w:r>
      <w:r w:rsidR="00B229E7" w:rsidRPr="00182B21">
        <w:rPr>
          <w:sz w:val="20"/>
          <w:szCs w:val="28"/>
        </w:rPr>
        <w:t>Street:</w:t>
      </w:r>
      <w:r w:rsidRPr="00182B21">
        <w:rPr>
          <w:sz w:val="20"/>
          <w:szCs w:val="28"/>
        </w:rPr>
        <w:t xml:space="preserve"> only one of the properties has an interface to Arden Street, which features a two-storey high external wall with two small windows on the top floor</w:t>
      </w:r>
      <w:r w:rsidR="00B229E7" w:rsidRPr="00182B21">
        <w:rPr>
          <w:sz w:val="20"/>
          <w:szCs w:val="28"/>
        </w:rPr>
        <w:t xml:space="preserve">. </w:t>
      </w:r>
      <w:r w:rsidR="00A742FB" w:rsidRPr="00182B21">
        <w:rPr>
          <w:sz w:val="20"/>
          <w:szCs w:val="28"/>
        </w:rPr>
        <w:t xml:space="preserve">Accordingly, the </w:t>
      </w:r>
      <w:r w:rsidRPr="00182B21">
        <w:rPr>
          <w:sz w:val="20"/>
          <w:szCs w:val="28"/>
        </w:rPr>
        <w:t xml:space="preserve">subject </w:t>
      </w:r>
      <w:r w:rsidR="00A742FB" w:rsidRPr="00182B21">
        <w:rPr>
          <w:sz w:val="20"/>
          <w:szCs w:val="28"/>
        </w:rPr>
        <w:t>site’s southern interface is not</w:t>
      </w:r>
      <w:r w:rsidR="00182B21">
        <w:rPr>
          <w:sz w:val="20"/>
          <w:szCs w:val="28"/>
        </w:rPr>
        <w:t xml:space="preserve"> </w:t>
      </w:r>
      <w:r w:rsidR="00A742FB" w:rsidRPr="00182B21">
        <w:rPr>
          <w:sz w:val="20"/>
          <w:szCs w:val="28"/>
        </w:rPr>
        <w:t>considered sensitive.</w:t>
      </w:r>
    </w:p>
    <w:p w14:paraId="13A90AA8" w14:textId="77777777" w:rsidR="00182B21" w:rsidRPr="00182B21" w:rsidRDefault="00182B21" w:rsidP="00706D5D">
      <w:pPr>
        <w:spacing w:before="120" w:line="280" w:lineRule="atLeast"/>
        <w:jc w:val="both"/>
        <w:rPr>
          <w:sz w:val="20"/>
          <w:szCs w:val="28"/>
        </w:rPr>
      </w:pPr>
    </w:p>
    <w:p w14:paraId="34856F52" w14:textId="19301DEB" w:rsidR="00A742FB" w:rsidRPr="00182B21" w:rsidRDefault="00A742FB" w:rsidP="00706D5D">
      <w:pPr>
        <w:spacing w:before="120" w:line="280" w:lineRule="atLeast"/>
        <w:jc w:val="both"/>
        <w:rPr>
          <w:sz w:val="20"/>
          <w:szCs w:val="28"/>
        </w:rPr>
      </w:pPr>
      <w:r w:rsidRPr="00182B21">
        <w:rPr>
          <w:sz w:val="20"/>
          <w:szCs w:val="28"/>
        </w:rPr>
        <w:t>A large part of the area located to the south of Arden Street is covered by DDO32. The area covered by DDO32 is a historic residential area, with an established character of 2 to 3-storey heights. In contrast to the subject site</w:t>
      </w:r>
      <w:r w:rsidR="004B3DC1" w:rsidRPr="00182B21">
        <w:rPr>
          <w:sz w:val="20"/>
          <w:szCs w:val="28"/>
        </w:rPr>
        <w:t>,</w:t>
      </w:r>
      <w:r w:rsidRPr="00182B21">
        <w:rPr>
          <w:sz w:val="20"/>
          <w:szCs w:val="28"/>
        </w:rPr>
        <w:t xml:space="preserve"> this residential area is characterised by:</w:t>
      </w:r>
    </w:p>
    <w:p w14:paraId="7E0C67F0" w14:textId="77777777" w:rsidR="00A742FB" w:rsidRPr="00182B21" w:rsidRDefault="00A742FB" w:rsidP="00A742FB">
      <w:pPr>
        <w:autoSpaceDE w:val="0"/>
        <w:autoSpaceDN w:val="0"/>
        <w:adjustRightInd w:val="0"/>
        <w:spacing w:after="0" w:line="240" w:lineRule="auto"/>
        <w:contextualSpacing w:val="0"/>
        <w:rPr>
          <w:rFonts w:ascii="Arial" w:hAnsi="Arial" w:cs="Arial"/>
          <w:color w:val="000000"/>
          <w:sz w:val="6"/>
          <w:szCs w:val="6"/>
        </w:rPr>
      </w:pPr>
    </w:p>
    <w:p w14:paraId="3CFC6982" w14:textId="77777777" w:rsidR="00A742FB" w:rsidRPr="00182B21" w:rsidRDefault="00A742FB" w:rsidP="00706D5D">
      <w:pPr>
        <w:pStyle w:val="ESNumberedBullet1"/>
        <w:spacing w:before="120" w:line="280" w:lineRule="atLeast"/>
        <w:rPr>
          <w:sz w:val="20"/>
          <w:szCs w:val="28"/>
        </w:rPr>
      </w:pPr>
      <w:r w:rsidRPr="00182B21">
        <w:rPr>
          <w:sz w:val="20"/>
          <w:szCs w:val="28"/>
        </w:rPr>
        <w:t>A fine grain subdivision pattern</w:t>
      </w:r>
    </w:p>
    <w:p w14:paraId="3A687BDD" w14:textId="77777777" w:rsidR="00A742FB" w:rsidRPr="00182B21" w:rsidRDefault="00A742FB" w:rsidP="00706D5D">
      <w:pPr>
        <w:pStyle w:val="ESNumberedBullet1"/>
        <w:spacing w:before="120" w:line="280" w:lineRule="atLeast"/>
        <w:rPr>
          <w:sz w:val="20"/>
          <w:szCs w:val="28"/>
        </w:rPr>
      </w:pPr>
      <w:r w:rsidRPr="00182B21">
        <w:rPr>
          <w:sz w:val="20"/>
          <w:szCs w:val="28"/>
        </w:rPr>
        <w:t>A generally consistent building height</w:t>
      </w:r>
    </w:p>
    <w:p w14:paraId="5564ACBE" w14:textId="77777777" w:rsidR="00A742FB" w:rsidRPr="00182B21" w:rsidRDefault="00A742FB" w:rsidP="00706D5D">
      <w:pPr>
        <w:pStyle w:val="ESNumberedBullet1"/>
        <w:spacing w:before="120" w:line="280" w:lineRule="atLeast"/>
        <w:rPr>
          <w:sz w:val="20"/>
          <w:szCs w:val="28"/>
        </w:rPr>
      </w:pPr>
      <w:r w:rsidRPr="00182B21">
        <w:rPr>
          <w:sz w:val="20"/>
          <w:szCs w:val="28"/>
        </w:rPr>
        <w:t>A street layout characterised by the 19.m wide Lothian Street</w:t>
      </w:r>
    </w:p>
    <w:p w14:paraId="75F7D8B8" w14:textId="0104ED8F" w:rsidR="004B3DC1" w:rsidRPr="00182B21" w:rsidRDefault="00A742FB" w:rsidP="00706D5D">
      <w:pPr>
        <w:pStyle w:val="ESNumberedBullet1"/>
        <w:spacing w:before="120" w:line="280" w:lineRule="atLeast"/>
        <w:rPr>
          <w:sz w:val="20"/>
          <w:szCs w:val="28"/>
        </w:rPr>
      </w:pPr>
      <w:r w:rsidRPr="00182B21">
        <w:rPr>
          <w:sz w:val="20"/>
          <w:szCs w:val="28"/>
        </w:rPr>
        <w:t>A network or narrower 10m and 3.7m wide laneways</w:t>
      </w:r>
    </w:p>
    <w:p w14:paraId="50BF6ACC" w14:textId="77777777" w:rsidR="00A742FB" w:rsidRPr="00182B21" w:rsidRDefault="00A742FB" w:rsidP="00A742FB">
      <w:pPr>
        <w:pStyle w:val="Heading4"/>
        <w:rPr>
          <w:sz w:val="20"/>
          <w:szCs w:val="28"/>
        </w:rPr>
      </w:pPr>
      <w:r w:rsidRPr="00182B21">
        <w:rPr>
          <w:sz w:val="20"/>
          <w:szCs w:val="28"/>
        </w:rPr>
        <w:t>East</w:t>
      </w:r>
    </w:p>
    <w:p w14:paraId="5610FDC1" w14:textId="60B2A923" w:rsidR="00C4309C" w:rsidRPr="00182B21" w:rsidRDefault="00C4309C" w:rsidP="00706D5D">
      <w:pPr>
        <w:spacing w:before="120" w:line="280" w:lineRule="atLeast"/>
        <w:jc w:val="both"/>
        <w:rPr>
          <w:sz w:val="20"/>
          <w:szCs w:val="28"/>
        </w:rPr>
      </w:pPr>
      <w:r w:rsidRPr="00182B21">
        <w:rPr>
          <w:sz w:val="20"/>
          <w:szCs w:val="28"/>
        </w:rPr>
        <w:t xml:space="preserve">The adjacent eastern portion of the subject site is occupied by the heritage-significant Melbourne Mills building. There are no vehicle crossovers on the eastern interface of the subject site. </w:t>
      </w:r>
    </w:p>
    <w:p w14:paraId="2DB1F938" w14:textId="77777777" w:rsidR="00785D62" w:rsidRPr="00182B21" w:rsidRDefault="00785D62" w:rsidP="00706D5D">
      <w:pPr>
        <w:spacing w:before="120" w:line="280" w:lineRule="atLeast"/>
        <w:jc w:val="both"/>
        <w:rPr>
          <w:sz w:val="20"/>
          <w:szCs w:val="28"/>
        </w:rPr>
      </w:pPr>
    </w:p>
    <w:p w14:paraId="32D1B6B4" w14:textId="74D671F5" w:rsidR="00C4309C" w:rsidRPr="00182B21" w:rsidRDefault="00A742FB" w:rsidP="00706D5D">
      <w:pPr>
        <w:spacing w:before="120" w:line="280" w:lineRule="atLeast"/>
        <w:jc w:val="both"/>
        <w:rPr>
          <w:sz w:val="20"/>
          <w:szCs w:val="28"/>
        </w:rPr>
      </w:pPr>
      <w:r w:rsidRPr="00182B21">
        <w:rPr>
          <w:sz w:val="20"/>
          <w:szCs w:val="28"/>
        </w:rPr>
        <w:t>Lothian Street is located immediately east of the site. The road reserve is 20 metres wide</w:t>
      </w:r>
      <w:r w:rsidR="00C4309C" w:rsidRPr="00182B21">
        <w:rPr>
          <w:sz w:val="20"/>
          <w:szCs w:val="28"/>
        </w:rPr>
        <w:t xml:space="preserve">. It </w:t>
      </w:r>
      <w:r w:rsidRPr="00182B21">
        <w:rPr>
          <w:sz w:val="20"/>
          <w:szCs w:val="28"/>
        </w:rPr>
        <w:t>includes car parking</w:t>
      </w:r>
      <w:r w:rsidR="00C4309C" w:rsidRPr="00182B21">
        <w:rPr>
          <w:sz w:val="20"/>
          <w:szCs w:val="28"/>
        </w:rPr>
        <w:t xml:space="preserve"> on the western </w:t>
      </w:r>
      <w:r w:rsidR="005D2DF2" w:rsidRPr="00182B21">
        <w:rPr>
          <w:sz w:val="20"/>
          <w:szCs w:val="28"/>
        </w:rPr>
        <w:t xml:space="preserve">and </w:t>
      </w:r>
      <w:r w:rsidR="00C4309C" w:rsidRPr="00182B21">
        <w:rPr>
          <w:sz w:val="20"/>
          <w:szCs w:val="28"/>
        </w:rPr>
        <w:t>eastern side</w:t>
      </w:r>
      <w:r w:rsidR="005D2DF2" w:rsidRPr="00182B21">
        <w:rPr>
          <w:sz w:val="20"/>
          <w:szCs w:val="28"/>
        </w:rPr>
        <w:t>s of the street.</w:t>
      </w:r>
      <w:r w:rsidRPr="00182B21">
        <w:rPr>
          <w:sz w:val="20"/>
          <w:szCs w:val="28"/>
        </w:rPr>
        <w:t xml:space="preserve"> </w:t>
      </w:r>
    </w:p>
    <w:p w14:paraId="11CE2B30" w14:textId="77777777" w:rsidR="00785D62" w:rsidRPr="00182B21" w:rsidRDefault="00785D62" w:rsidP="00706D5D">
      <w:pPr>
        <w:spacing w:before="120" w:line="280" w:lineRule="atLeast"/>
        <w:jc w:val="both"/>
        <w:rPr>
          <w:sz w:val="20"/>
          <w:szCs w:val="28"/>
        </w:rPr>
      </w:pPr>
    </w:p>
    <w:p w14:paraId="62BF31BC" w14:textId="61DEB285" w:rsidR="005D2DF2" w:rsidRPr="00182B21" w:rsidRDefault="00A742FB" w:rsidP="00706D5D">
      <w:pPr>
        <w:spacing w:before="120" w:line="280" w:lineRule="atLeast"/>
        <w:jc w:val="both"/>
        <w:rPr>
          <w:sz w:val="20"/>
          <w:szCs w:val="28"/>
        </w:rPr>
      </w:pPr>
      <w:r w:rsidRPr="00182B21">
        <w:rPr>
          <w:sz w:val="20"/>
          <w:szCs w:val="28"/>
        </w:rPr>
        <w:t>There are two</w:t>
      </w:r>
      <w:r w:rsidR="005D2DF2" w:rsidRPr="00182B21">
        <w:rPr>
          <w:sz w:val="20"/>
          <w:szCs w:val="28"/>
        </w:rPr>
        <w:t xml:space="preserve">, </w:t>
      </w:r>
      <w:r w:rsidR="006A06EA" w:rsidRPr="00182B21">
        <w:rPr>
          <w:sz w:val="20"/>
          <w:szCs w:val="28"/>
        </w:rPr>
        <w:t xml:space="preserve">three-storey </w:t>
      </w:r>
      <w:r w:rsidRPr="00182B21">
        <w:rPr>
          <w:sz w:val="20"/>
          <w:szCs w:val="28"/>
        </w:rPr>
        <w:t xml:space="preserve">residential buildings located on the east side of Lothian Street. These buildings </w:t>
      </w:r>
      <w:r w:rsidR="00C4309C" w:rsidRPr="00182B21">
        <w:rPr>
          <w:sz w:val="20"/>
          <w:szCs w:val="28"/>
        </w:rPr>
        <w:t>have frontages to</w:t>
      </w:r>
      <w:r w:rsidRPr="00182B21">
        <w:rPr>
          <w:sz w:val="20"/>
          <w:szCs w:val="28"/>
        </w:rPr>
        <w:t xml:space="preserve"> Arden Street and O’Shanassy Street</w:t>
      </w:r>
      <w:r w:rsidR="00C4309C" w:rsidRPr="00182B21">
        <w:rPr>
          <w:sz w:val="20"/>
          <w:szCs w:val="28"/>
        </w:rPr>
        <w:t xml:space="preserve">, where the main access points are. </w:t>
      </w:r>
    </w:p>
    <w:p w14:paraId="7CD284F8" w14:textId="77777777" w:rsidR="005D2DF2" w:rsidRPr="00182B21" w:rsidRDefault="005D2DF2" w:rsidP="00706D5D">
      <w:pPr>
        <w:spacing w:before="120" w:line="280" w:lineRule="atLeast"/>
        <w:jc w:val="both"/>
        <w:rPr>
          <w:sz w:val="20"/>
          <w:szCs w:val="28"/>
        </w:rPr>
      </w:pPr>
    </w:p>
    <w:p w14:paraId="4601152B" w14:textId="37739586" w:rsidR="00C4309C" w:rsidRPr="00182B21" w:rsidRDefault="00C4309C" w:rsidP="00706D5D">
      <w:pPr>
        <w:spacing w:before="120" w:line="280" w:lineRule="atLeast"/>
        <w:jc w:val="both"/>
        <w:rPr>
          <w:sz w:val="20"/>
          <w:szCs w:val="28"/>
        </w:rPr>
      </w:pPr>
      <w:r w:rsidRPr="00182B21">
        <w:rPr>
          <w:sz w:val="20"/>
          <w:szCs w:val="28"/>
        </w:rPr>
        <w:t>The</w:t>
      </w:r>
      <w:r w:rsidR="006A06EA" w:rsidRPr="00182B21">
        <w:rPr>
          <w:sz w:val="20"/>
          <w:szCs w:val="28"/>
        </w:rPr>
        <w:t xml:space="preserve"> western side boundary features a 1.2m high wooden fence which has</w:t>
      </w:r>
      <w:r w:rsidRPr="00182B21">
        <w:rPr>
          <w:sz w:val="20"/>
          <w:szCs w:val="28"/>
        </w:rPr>
        <w:t xml:space="preserve"> two secondary pedestrian entry points</w:t>
      </w:r>
      <w:r w:rsidR="006A06EA" w:rsidRPr="00182B21">
        <w:rPr>
          <w:sz w:val="20"/>
          <w:szCs w:val="28"/>
        </w:rPr>
        <w:t>. A single-storey</w:t>
      </w:r>
      <w:r w:rsidR="00A742FB" w:rsidRPr="00182B21">
        <w:rPr>
          <w:sz w:val="20"/>
          <w:szCs w:val="28"/>
        </w:rPr>
        <w:t xml:space="preserve"> service building </w:t>
      </w:r>
      <w:r w:rsidR="006A06EA" w:rsidRPr="00182B21">
        <w:rPr>
          <w:sz w:val="20"/>
          <w:szCs w:val="28"/>
        </w:rPr>
        <w:t xml:space="preserve">is also </w:t>
      </w:r>
      <w:r w:rsidR="00A742FB" w:rsidRPr="00182B21">
        <w:rPr>
          <w:sz w:val="20"/>
          <w:szCs w:val="28"/>
        </w:rPr>
        <w:t xml:space="preserve">adjacent to the </w:t>
      </w:r>
      <w:r w:rsidR="006A06EA" w:rsidRPr="00182B21">
        <w:rPr>
          <w:sz w:val="20"/>
          <w:szCs w:val="28"/>
        </w:rPr>
        <w:t xml:space="preserve">western </w:t>
      </w:r>
      <w:r w:rsidR="00A742FB" w:rsidRPr="00182B21">
        <w:rPr>
          <w:sz w:val="20"/>
          <w:szCs w:val="28"/>
        </w:rPr>
        <w:t xml:space="preserve">site boundary. </w:t>
      </w:r>
      <w:r w:rsidR="006A06EA" w:rsidRPr="00182B21">
        <w:rPr>
          <w:sz w:val="20"/>
          <w:szCs w:val="28"/>
        </w:rPr>
        <w:t xml:space="preserve">All development on this site features exposed brickwork and pitched roofs. </w:t>
      </w:r>
    </w:p>
    <w:p w14:paraId="3BDDB880" w14:textId="77777777" w:rsidR="00A742FB" w:rsidRPr="00182B21" w:rsidRDefault="00A742FB" w:rsidP="004F519A">
      <w:pPr>
        <w:pStyle w:val="Heading4"/>
        <w:rPr>
          <w:sz w:val="20"/>
          <w:szCs w:val="28"/>
        </w:rPr>
      </w:pPr>
      <w:r w:rsidRPr="00182B21">
        <w:rPr>
          <w:sz w:val="20"/>
          <w:szCs w:val="28"/>
        </w:rPr>
        <w:t>North</w:t>
      </w:r>
    </w:p>
    <w:p w14:paraId="4D64E499" w14:textId="76C99A25" w:rsidR="00207B3F" w:rsidRPr="00182B21" w:rsidRDefault="00B453F2" w:rsidP="00706D5D">
      <w:pPr>
        <w:spacing w:before="120" w:line="280" w:lineRule="atLeast"/>
        <w:jc w:val="both"/>
        <w:rPr>
          <w:sz w:val="20"/>
          <w:szCs w:val="28"/>
        </w:rPr>
      </w:pPr>
      <w:r w:rsidRPr="00182B21">
        <w:rPr>
          <w:sz w:val="20"/>
          <w:szCs w:val="28"/>
        </w:rPr>
        <w:t>The site is</w:t>
      </w:r>
      <w:r w:rsidR="00207B3F" w:rsidRPr="00182B21">
        <w:rPr>
          <w:sz w:val="20"/>
          <w:szCs w:val="28"/>
        </w:rPr>
        <w:t xml:space="preserve"> partially</w:t>
      </w:r>
      <w:r w:rsidRPr="00182B21">
        <w:rPr>
          <w:sz w:val="20"/>
          <w:szCs w:val="28"/>
        </w:rPr>
        <w:t xml:space="preserve"> bounded by </w:t>
      </w:r>
      <w:r w:rsidR="00207B3F" w:rsidRPr="00182B21">
        <w:rPr>
          <w:sz w:val="20"/>
          <w:szCs w:val="28"/>
        </w:rPr>
        <w:t xml:space="preserve">the property at 139-153 O’Shanassy Street </w:t>
      </w:r>
      <w:r w:rsidR="001B3A8F" w:rsidRPr="00182B21">
        <w:rPr>
          <w:sz w:val="20"/>
          <w:szCs w:val="28"/>
        </w:rPr>
        <w:t xml:space="preserve">north-west of the site </w:t>
      </w:r>
      <w:r w:rsidR="00207B3F" w:rsidRPr="00182B21">
        <w:rPr>
          <w:sz w:val="20"/>
          <w:szCs w:val="28"/>
        </w:rPr>
        <w:t xml:space="preserve">and </w:t>
      </w:r>
      <w:r w:rsidRPr="00182B21">
        <w:rPr>
          <w:sz w:val="20"/>
          <w:szCs w:val="28"/>
        </w:rPr>
        <w:t>O’Shanassy Street to the north</w:t>
      </w:r>
      <w:r w:rsidR="001B3A8F" w:rsidRPr="00182B21">
        <w:rPr>
          <w:sz w:val="20"/>
          <w:szCs w:val="28"/>
        </w:rPr>
        <w:t>-east</w:t>
      </w:r>
      <w:r w:rsidRPr="00182B21">
        <w:rPr>
          <w:sz w:val="20"/>
          <w:szCs w:val="28"/>
        </w:rPr>
        <w:t xml:space="preserve">. </w:t>
      </w:r>
    </w:p>
    <w:p w14:paraId="15010611" w14:textId="77777777" w:rsidR="00207B3F" w:rsidRPr="00182B21" w:rsidRDefault="00207B3F" w:rsidP="00706D5D">
      <w:pPr>
        <w:spacing w:before="120" w:line="280" w:lineRule="atLeast"/>
        <w:jc w:val="both"/>
        <w:rPr>
          <w:sz w:val="20"/>
          <w:szCs w:val="28"/>
        </w:rPr>
      </w:pPr>
    </w:p>
    <w:p w14:paraId="1A7F5D1D" w14:textId="77777777" w:rsidR="00785D62" w:rsidRPr="00182B21" w:rsidRDefault="00207B3F" w:rsidP="00706D5D">
      <w:pPr>
        <w:spacing w:before="120" w:line="280" w:lineRule="atLeast"/>
        <w:jc w:val="both"/>
        <w:rPr>
          <w:sz w:val="20"/>
          <w:szCs w:val="28"/>
        </w:rPr>
      </w:pPr>
      <w:r w:rsidRPr="00182B21">
        <w:rPr>
          <w:sz w:val="20"/>
          <w:szCs w:val="28"/>
        </w:rPr>
        <w:t xml:space="preserve">Development at 139-153 O’Shanassy Street consists of a four-storey multi-dwelling residential development slightly set back from the front boundary along O’Shanassy Street and built to both side boundaries. The built form consists of a mix of exposed brickwork and cream painted concrete. The front boundary features a 1.2m high painted wooden fence and some landscaping. </w:t>
      </w:r>
    </w:p>
    <w:p w14:paraId="30A70627" w14:textId="77777777" w:rsidR="00785D62" w:rsidRPr="00182B21" w:rsidRDefault="00785D62" w:rsidP="00706D5D">
      <w:pPr>
        <w:spacing w:before="120" w:line="280" w:lineRule="atLeast"/>
        <w:jc w:val="both"/>
        <w:rPr>
          <w:sz w:val="20"/>
          <w:szCs w:val="28"/>
        </w:rPr>
      </w:pPr>
    </w:p>
    <w:p w14:paraId="6FC281E5" w14:textId="21C78DA2" w:rsidR="001B3A8F" w:rsidRPr="00182B21" w:rsidRDefault="001B3A8F" w:rsidP="00706D5D">
      <w:pPr>
        <w:spacing w:before="120" w:line="280" w:lineRule="atLeast"/>
        <w:jc w:val="both"/>
        <w:rPr>
          <w:sz w:val="20"/>
          <w:szCs w:val="28"/>
        </w:rPr>
      </w:pPr>
      <w:r w:rsidRPr="00182B21">
        <w:rPr>
          <w:sz w:val="20"/>
          <w:szCs w:val="28"/>
        </w:rPr>
        <w:lastRenderedPageBreak/>
        <w:t xml:space="preserve">The primary outlook and SPOS of these dwellings are to the north. Building services and accessways are located along the building’s southern façade. This site is occupied by the Melbourne Mills building and will not be subject to future external redevelopment. The site is held by DHHS. This represents the subject site’s only sensitive interface. </w:t>
      </w:r>
    </w:p>
    <w:p w14:paraId="136D7B36" w14:textId="77777777" w:rsidR="001B3A8F" w:rsidRPr="00182B21" w:rsidRDefault="001B3A8F" w:rsidP="00706D5D">
      <w:pPr>
        <w:spacing w:before="120" w:line="280" w:lineRule="atLeast"/>
        <w:jc w:val="both"/>
        <w:rPr>
          <w:sz w:val="20"/>
          <w:szCs w:val="28"/>
        </w:rPr>
      </w:pPr>
    </w:p>
    <w:p w14:paraId="1E04ACCF" w14:textId="6E01E29A" w:rsidR="004F519A" w:rsidRPr="00182B21" w:rsidRDefault="001B3A8F" w:rsidP="00706D5D">
      <w:pPr>
        <w:spacing w:before="120" w:line="280" w:lineRule="atLeast"/>
        <w:jc w:val="both"/>
        <w:rPr>
          <w:sz w:val="20"/>
          <w:szCs w:val="28"/>
        </w:rPr>
      </w:pPr>
      <w:r w:rsidRPr="00182B21">
        <w:rPr>
          <w:sz w:val="20"/>
          <w:szCs w:val="28"/>
        </w:rPr>
        <w:t xml:space="preserve">The </w:t>
      </w:r>
      <w:r w:rsidR="00B453F2" w:rsidRPr="00182B21">
        <w:rPr>
          <w:sz w:val="20"/>
          <w:szCs w:val="28"/>
        </w:rPr>
        <w:t xml:space="preserve">O’Shanassy </w:t>
      </w:r>
      <w:r w:rsidR="00095B72" w:rsidRPr="00182B21">
        <w:rPr>
          <w:sz w:val="20"/>
          <w:szCs w:val="28"/>
        </w:rPr>
        <w:t>Street Road</w:t>
      </w:r>
      <w:r w:rsidRPr="00182B21">
        <w:rPr>
          <w:sz w:val="20"/>
          <w:szCs w:val="28"/>
        </w:rPr>
        <w:t xml:space="preserve"> reserve is a </w:t>
      </w:r>
      <w:r w:rsidR="00207B3F" w:rsidRPr="00182B21">
        <w:rPr>
          <w:sz w:val="20"/>
          <w:szCs w:val="28"/>
        </w:rPr>
        <w:t xml:space="preserve">22m wide boulevard type street. There is a single traffic lane on each direction and on-street parking, as well as a 7.5m wide landscaped strip running through </w:t>
      </w:r>
      <w:r w:rsidRPr="00182B21">
        <w:rPr>
          <w:sz w:val="20"/>
          <w:szCs w:val="28"/>
        </w:rPr>
        <w:t>along the central median</w:t>
      </w:r>
      <w:r w:rsidR="00207B3F" w:rsidRPr="00182B21">
        <w:rPr>
          <w:sz w:val="20"/>
          <w:szCs w:val="28"/>
        </w:rPr>
        <w:t>.</w:t>
      </w:r>
    </w:p>
    <w:p w14:paraId="4FFFA285" w14:textId="77777777" w:rsidR="004F519A" w:rsidRPr="00182B21" w:rsidRDefault="004F519A" w:rsidP="00A742FB">
      <w:pPr>
        <w:rPr>
          <w:sz w:val="20"/>
          <w:szCs w:val="28"/>
        </w:rPr>
      </w:pPr>
    </w:p>
    <w:p w14:paraId="2D25A5F5" w14:textId="595F3112" w:rsidR="00A742FB" w:rsidRPr="00182B21" w:rsidRDefault="00207B3F" w:rsidP="00706D5D">
      <w:pPr>
        <w:spacing w:before="120" w:line="280" w:lineRule="atLeast"/>
        <w:jc w:val="both"/>
        <w:rPr>
          <w:sz w:val="20"/>
          <w:szCs w:val="28"/>
        </w:rPr>
      </w:pPr>
      <w:r w:rsidRPr="00182B21">
        <w:rPr>
          <w:sz w:val="20"/>
          <w:szCs w:val="28"/>
        </w:rPr>
        <w:t xml:space="preserve">O’Shanassy Street has a strong landscape character associated with the proximity to Gardiner Reserve. </w:t>
      </w:r>
      <w:r w:rsidR="001B3A8F" w:rsidRPr="00182B21">
        <w:rPr>
          <w:sz w:val="20"/>
          <w:szCs w:val="28"/>
        </w:rPr>
        <w:t>Mature</w:t>
      </w:r>
      <w:r w:rsidRPr="00182B21">
        <w:rPr>
          <w:sz w:val="20"/>
          <w:szCs w:val="28"/>
        </w:rPr>
        <w:t xml:space="preserve"> canopy trees are positioned along the boulevard</w:t>
      </w:r>
      <w:r w:rsidR="001B3A8F" w:rsidRPr="00182B21">
        <w:rPr>
          <w:sz w:val="20"/>
          <w:szCs w:val="28"/>
        </w:rPr>
        <w:t>’s median</w:t>
      </w:r>
      <w:r w:rsidRPr="00182B21">
        <w:rPr>
          <w:sz w:val="20"/>
          <w:szCs w:val="28"/>
        </w:rPr>
        <w:t xml:space="preserve">. The residential properties on the northern interface feature exposed earth colour brickwork and landscaped front setbacks. These </w:t>
      </w:r>
      <w:r w:rsidR="001B3A8F" w:rsidRPr="00182B21">
        <w:rPr>
          <w:sz w:val="20"/>
          <w:szCs w:val="28"/>
        </w:rPr>
        <w:t>properties</w:t>
      </w:r>
      <w:r w:rsidRPr="00182B21">
        <w:rPr>
          <w:sz w:val="20"/>
          <w:szCs w:val="28"/>
        </w:rPr>
        <w:t xml:space="preserve"> consist of two-storey medium-density units laid out in a U shape and accessed via courts off O’Shanassy Street. </w:t>
      </w:r>
    </w:p>
    <w:p w14:paraId="7F72AC2B" w14:textId="0E209A8C" w:rsidR="00C63591" w:rsidRDefault="009F2FE3" w:rsidP="00C63591">
      <w:pPr>
        <w:pStyle w:val="Heading2"/>
      </w:pPr>
      <w:r>
        <w:br w:type="page"/>
      </w:r>
      <w:bookmarkStart w:id="31" w:name="_Toc103201857"/>
      <w:bookmarkStart w:id="32" w:name="_Toc152146934"/>
      <w:r w:rsidR="00C63591" w:rsidRPr="00C63591">
        <w:lastRenderedPageBreak/>
        <w:t>Strategic Context</w:t>
      </w:r>
      <w:bookmarkEnd w:id="31"/>
      <w:bookmarkEnd w:id="32"/>
    </w:p>
    <w:p w14:paraId="69915835" w14:textId="1C5FA0DC" w:rsidR="0037424F" w:rsidRPr="000A3743" w:rsidRDefault="0037424F" w:rsidP="000D23C5">
      <w:pPr>
        <w:pStyle w:val="Heading3NoNumbers"/>
      </w:pPr>
      <w:bookmarkStart w:id="33" w:name="_Hlk121734708"/>
      <w:r w:rsidRPr="000A3743">
        <w:t>Plan</w:t>
      </w:r>
      <w:r w:rsidR="00455833">
        <w:t xml:space="preserve"> </w:t>
      </w:r>
      <w:r w:rsidRPr="000A3743">
        <w:t xml:space="preserve">Melbourne </w:t>
      </w:r>
    </w:p>
    <w:p w14:paraId="110365F6" w14:textId="6880EDAD" w:rsidR="002E7413" w:rsidRDefault="002E7413" w:rsidP="00706D5D">
      <w:pPr>
        <w:spacing w:before="120" w:line="280" w:lineRule="atLeast"/>
        <w:jc w:val="both"/>
        <w:rPr>
          <w:sz w:val="20"/>
          <w:szCs w:val="28"/>
        </w:rPr>
      </w:pPr>
      <w:r w:rsidRPr="00182B21">
        <w:rPr>
          <w:sz w:val="20"/>
          <w:szCs w:val="28"/>
        </w:rPr>
        <w:t xml:space="preserve">Plan Melbourne is the metropolitan planning strategy that defines the future shape of Melbourne over the next 35 years. The plan sets out a hierarchy of Principles, Outcomes, Directions and Policies to ensure Melbourne grows more sustainable, </w:t>
      </w:r>
      <w:r w:rsidR="00B229E7" w:rsidRPr="00182B21">
        <w:rPr>
          <w:sz w:val="20"/>
          <w:szCs w:val="28"/>
        </w:rPr>
        <w:t>productive,</w:t>
      </w:r>
      <w:r w:rsidRPr="00182B21">
        <w:rPr>
          <w:sz w:val="20"/>
          <w:szCs w:val="28"/>
        </w:rPr>
        <w:t xml:space="preserve"> and liveable as its population approaches 8 million.</w:t>
      </w:r>
    </w:p>
    <w:p w14:paraId="0B5BAE34" w14:textId="77777777" w:rsidR="00833745" w:rsidRPr="00182B21" w:rsidRDefault="00833745" w:rsidP="00706D5D">
      <w:pPr>
        <w:spacing w:before="120" w:line="280" w:lineRule="atLeast"/>
        <w:jc w:val="both"/>
        <w:rPr>
          <w:sz w:val="20"/>
          <w:szCs w:val="28"/>
        </w:rPr>
      </w:pPr>
    </w:p>
    <w:p w14:paraId="310C1C71" w14:textId="77777777" w:rsidR="00D51AFC" w:rsidRPr="00706D5D" w:rsidRDefault="00D51AFC" w:rsidP="00706D5D">
      <w:pPr>
        <w:spacing w:before="120" w:line="280" w:lineRule="atLeast"/>
        <w:jc w:val="both"/>
        <w:rPr>
          <w:sz w:val="20"/>
          <w:szCs w:val="28"/>
        </w:rPr>
      </w:pPr>
      <w:r w:rsidRPr="00706D5D">
        <w:rPr>
          <w:sz w:val="20"/>
          <w:szCs w:val="28"/>
        </w:rPr>
        <w:t xml:space="preserve">Plan Melbourne 2017-2050 outlines the long-term plan to manage growth in the city and suburbs to the year 2050. It seeks to integrate long-term land use, infrastructure and transport planning, and in doing so meet the city’s future environmental, population, housing and employment needs. Plan Melbourne provides a major focus on enhancing and unlocking the development potential of the metropolitan area and highlights transport integration throughout the city, accommodation of at least one million jobs and nearly one million people in the central subregion, stimulation of the economy through job creation and facilitation of employment land as key strategic directions of the plan. </w:t>
      </w:r>
    </w:p>
    <w:p w14:paraId="7E1EFD8B" w14:textId="259BD2F2" w:rsidR="00D51AFC" w:rsidRPr="00706D5D" w:rsidRDefault="00D51AFC" w:rsidP="00706D5D">
      <w:pPr>
        <w:spacing w:before="120" w:line="280" w:lineRule="atLeast"/>
        <w:jc w:val="both"/>
        <w:rPr>
          <w:sz w:val="20"/>
          <w:szCs w:val="28"/>
        </w:rPr>
      </w:pPr>
    </w:p>
    <w:p w14:paraId="073DB48C" w14:textId="67E53722" w:rsidR="004E3A7B" w:rsidRPr="00182B21" w:rsidRDefault="00D51AFC" w:rsidP="00706D5D">
      <w:pPr>
        <w:spacing w:before="120" w:line="280" w:lineRule="atLeast"/>
        <w:rPr>
          <w:i/>
          <w:iCs/>
          <w:sz w:val="20"/>
          <w:szCs w:val="28"/>
        </w:rPr>
      </w:pPr>
      <w:r w:rsidRPr="00706D5D">
        <w:rPr>
          <w:sz w:val="20"/>
          <w:szCs w:val="28"/>
        </w:rPr>
        <w:t>Plan</w:t>
      </w:r>
      <w:r w:rsidR="00956AD6" w:rsidRPr="00706D5D">
        <w:rPr>
          <w:sz w:val="20"/>
          <w:szCs w:val="28"/>
        </w:rPr>
        <w:t xml:space="preserve"> </w:t>
      </w:r>
      <w:r w:rsidRPr="00706D5D">
        <w:rPr>
          <w:sz w:val="20"/>
          <w:szCs w:val="28"/>
        </w:rPr>
        <w:t xml:space="preserve">Melbourne identifies Arden as one of the major urban renewal precincts, which are considered places that can accommodate a significant amount of residential and jobs growth over the next 35 years. Their availability is considered to give Melbourne greater flexibility, particularly around timing and land use, with different areas having the potential to cater for different uses. </w:t>
      </w:r>
      <w:r w:rsidR="004E3A7B" w:rsidRPr="00706D5D">
        <w:rPr>
          <w:sz w:val="20"/>
          <w:szCs w:val="28"/>
        </w:rPr>
        <w:t xml:space="preserve"> The plan identifies that such precincts will:</w:t>
      </w:r>
      <w:r w:rsidR="004E3A7B" w:rsidRPr="00182B21">
        <w:rPr>
          <w:sz w:val="20"/>
          <w:szCs w:val="20"/>
        </w:rPr>
        <w:t xml:space="preserve"> </w:t>
      </w:r>
      <w:r w:rsidR="004E3A7B" w:rsidRPr="00182B21">
        <w:rPr>
          <w:sz w:val="20"/>
          <w:szCs w:val="20"/>
        </w:rPr>
        <w:br/>
      </w:r>
      <w:r w:rsidR="004E3A7B" w:rsidRPr="00182B21">
        <w:rPr>
          <w:sz w:val="20"/>
          <w:szCs w:val="20"/>
        </w:rPr>
        <w:br/>
      </w:r>
      <w:r w:rsidR="004E3A7B" w:rsidRPr="00182B21">
        <w:rPr>
          <w:i/>
          <w:iCs/>
          <w:sz w:val="20"/>
          <w:szCs w:val="28"/>
        </w:rPr>
        <w:t xml:space="preserve">“Take advantage of underutilised land close to jobs, services and public transport infrastructure, to provide new housing, jobs and services. Major urban renewal precincts will play an important role in accommodating future housing and employment growth and making better use of existing infrastructure.” </w:t>
      </w:r>
    </w:p>
    <w:p w14:paraId="3A77A717" w14:textId="5FE4A48A" w:rsidR="004E3A7B" w:rsidRPr="005E1B97" w:rsidRDefault="005330CA" w:rsidP="000D23C5">
      <w:pPr>
        <w:pStyle w:val="Heading3NoNumbers"/>
      </w:pPr>
      <w:r w:rsidRPr="005E1B97">
        <w:t>Arden Structure Plan</w:t>
      </w:r>
      <w:bookmarkStart w:id="34" w:name="_Toc103201858"/>
    </w:p>
    <w:p w14:paraId="63F1C8E8" w14:textId="055A470F" w:rsidR="00903153" w:rsidRPr="00182B21" w:rsidRDefault="00903153" w:rsidP="00833745">
      <w:pPr>
        <w:spacing w:before="120" w:line="280" w:lineRule="atLeast"/>
        <w:jc w:val="both"/>
        <w:rPr>
          <w:sz w:val="20"/>
          <w:szCs w:val="28"/>
        </w:rPr>
      </w:pPr>
      <w:r w:rsidRPr="00182B21">
        <w:rPr>
          <w:sz w:val="20"/>
          <w:szCs w:val="28"/>
        </w:rPr>
        <w:t>The Arden Structure Plan was formally adopted in July 2022 and sets out the aspirations for the Precinct’s renewal while making considerations and recommendations for future development.</w:t>
      </w:r>
    </w:p>
    <w:p w14:paraId="40976AAE" w14:textId="77777777" w:rsidR="00903153" w:rsidRPr="00833745" w:rsidRDefault="00903153" w:rsidP="00833745">
      <w:pPr>
        <w:spacing w:before="120" w:line="280" w:lineRule="atLeast"/>
        <w:jc w:val="both"/>
        <w:rPr>
          <w:sz w:val="20"/>
          <w:szCs w:val="28"/>
        </w:rPr>
      </w:pPr>
    </w:p>
    <w:p w14:paraId="66B5135E" w14:textId="7066E6C2" w:rsidR="00903153" w:rsidRPr="00833745" w:rsidRDefault="000A3743" w:rsidP="00833745">
      <w:pPr>
        <w:spacing w:before="120" w:line="280" w:lineRule="atLeast"/>
        <w:jc w:val="both"/>
        <w:rPr>
          <w:sz w:val="20"/>
          <w:szCs w:val="28"/>
        </w:rPr>
      </w:pPr>
      <w:r w:rsidRPr="00833745">
        <w:rPr>
          <w:sz w:val="20"/>
          <w:szCs w:val="28"/>
        </w:rPr>
        <w:t>While the site is not part of the Arden Structure Plan, it lies immediately adjacent to it</w:t>
      </w:r>
      <w:r w:rsidR="00AE73C9" w:rsidRPr="00833745">
        <w:rPr>
          <w:sz w:val="20"/>
          <w:szCs w:val="28"/>
        </w:rPr>
        <w:t>s defined boundary</w:t>
      </w:r>
      <w:r w:rsidRPr="00833745">
        <w:rPr>
          <w:sz w:val="20"/>
          <w:szCs w:val="28"/>
        </w:rPr>
        <w:t xml:space="preserve">. The Structure Plan sets out the </w:t>
      </w:r>
      <w:r w:rsidR="00D51AFC" w:rsidRPr="00833745">
        <w:rPr>
          <w:sz w:val="20"/>
          <w:szCs w:val="28"/>
        </w:rPr>
        <w:t>long-term</w:t>
      </w:r>
      <w:r w:rsidRPr="00833745">
        <w:rPr>
          <w:sz w:val="20"/>
          <w:szCs w:val="28"/>
        </w:rPr>
        <w:t xml:space="preserve"> vision for the Arden Precinct and recognises that there is a significant need to capitalise on the </w:t>
      </w:r>
      <w:r w:rsidR="00D51AFC" w:rsidRPr="00833745">
        <w:rPr>
          <w:sz w:val="20"/>
          <w:szCs w:val="28"/>
        </w:rPr>
        <w:t xml:space="preserve">existing and emerging </w:t>
      </w:r>
      <w:r w:rsidRPr="00833745">
        <w:rPr>
          <w:sz w:val="20"/>
          <w:szCs w:val="28"/>
        </w:rPr>
        <w:t>infrastructure delivery in the immediate area</w:t>
      </w:r>
      <w:r w:rsidR="008E1B7A" w:rsidRPr="00833745">
        <w:rPr>
          <w:sz w:val="20"/>
          <w:szCs w:val="28"/>
        </w:rPr>
        <w:t xml:space="preserve">, </w:t>
      </w:r>
      <w:r w:rsidR="00903153" w:rsidRPr="00833745">
        <w:rPr>
          <w:sz w:val="20"/>
          <w:szCs w:val="28"/>
        </w:rPr>
        <w:t xml:space="preserve">including the new Arden Train Station. </w:t>
      </w:r>
    </w:p>
    <w:p w14:paraId="760CBE08" w14:textId="77777777" w:rsidR="00903153" w:rsidRPr="00833745" w:rsidRDefault="00903153" w:rsidP="00833745">
      <w:pPr>
        <w:spacing w:before="120" w:line="280" w:lineRule="atLeast"/>
        <w:jc w:val="both"/>
        <w:rPr>
          <w:sz w:val="20"/>
          <w:szCs w:val="28"/>
        </w:rPr>
      </w:pPr>
    </w:p>
    <w:p w14:paraId="09CECB8F" w14:textId="5B1EA314" w:rsidR="00903153" w:rsidRPr="00833745" w:rsidRDefault="00903153" w:rsidP="00833745">
      <w:pPr>
        <w:spacing w:before="120" w:line="280" w:lineRule="atLeast"/>
        <w:jc w:val="both"/>
        <w:rPr>
          <w:sz w:val="20"/>
          <w:szCs w:val="28"/>
        </w:rPr>
      </w:pPr>
      <w:r w:rsidRPr="00833745">
        <w:rPr>
          <w:sz w:val="20"/>
          <w:szCs w:val="28"/>
        </w:rPr>
        <w:t xml:space="preserve">The Arden Structure Plan </w:t>
      </w:r>
      <w:r w:rsidR="008E1B7A" w:rsidRPr="00833745">
        <w:rPr>
          <w:sz w:val="20"/>
          <w:szCs w:val="28"/>
        </w:rPr>
        <w:t xml:space="preserve">sets out </w:t>
      </w:r>
      <w:r w:rsidRPr="00833745">
        <w:rPr>
          <w:sz w:val="20"/>
          <w:szCs w:val="28"/>
        </w:rPr>
        <w:t xml:space="preserve">the </w:t>
      </w:r>
      <w:r w:rsidR="008E1B7A" w:rsidRPr="00833745">
        <w:rPr>
          <w:sz w:val="20"/>
          <w:szCs w:val="28"/>
        </w:rPr>
        <w:t xml:space="preserve">strategic context </w:t>
      </w:r>
      <w:r w:rsidRPr="00833745">
        <w:rPr>
          <w:sz w:val="20"/>
          <w:szCs w:val="28"/>
        </w:rPr>
        <w:t xml:space="preserve">for much of the </w:t>
      </w:r>
      <w:r w:rsidR="008E1B7A" w:rsidRPr="00833745">
        <w:rPr>
          <w:sz w:val="20"/>
          <w:szCs w:val="28"/>
        </w:rPr>
        <w:t xml:space="preserve">area that surrounds the site </w:t>
      </w:r>
      <w:r w:rsidRPr="00833745">
        <w:rPr>
          <w:sz w:val="20"/>
          <w:szCs w:val="28"/>
        </w:rPr>
        <w:t xml:space="preserve">and identifies Arden as an area that can substantially benefit from increased densities, particularly in Arden Central where it is proposed that new buildings will generally be low to mid-rise in scale. </w:t>
      </w:r>
    </w:p>
    <w:p w14:paraId="22246813" w14:textId="3F837360" w:rsidR="00313A7D" w:rsidRPr="00833745" w:rsidRDefault="00313A7D" w:rsidP="00833745">
      <w:pPr>
        <w:spacing w:before="120" w:line="280" w:lineRule="atLeast"/>
        <w:jc w:val="both"/>
        <w:rPr>
          <w:sz w:val="20"/>
          <w:szCs w:val="28"/>
        </w:rPr>
      </w:pPr>
    </w:p>
    <w:p w14:paraId="5E82BCDC" w14:textId="7095C6B2" w:rsidR="004E3A7B" w:rsidRPr="00182B21" w:rsidRDefault="004E3A7B" w:rsidP="00833745">
      <w:pPr>
        <w:spacing w:before="120" w:line="280" w:lineRule="atLeast"/>
        <w:jc w:val="both"/>
        <w:rPr>
          <w:sz w:val="20"/>
          <w:szCs w:val="28"/>
        </w:rPr>
      </w:pPr>
      <w:r w:rsidRPr="00182B21">
        <w:rPr>
          <w:sz w:val="20"/>
          <w:szCs w:val="28"/>
        </w:rPr>
        <w:t xml:space="preserve">The Arden Structure Plan identifies the wider area to be suitable for a range of uses, densities and development typologies. </w:t>
      </w:r>
    </w:p>
    <w:bookmarkEnd w:id="33"/>
    <w:p w14:paraId="55F38C31" w14:textId="77777777" w:rsidR="004E3A7B" w:rsidRDefault="004E3A7B" w:rsidP="000A3743">
      <w:pPr>
        <w:pStyle w:val="ESNumberedBullet2"/>
        <w:numPr>
          <w:ilvl w:val="0"/>
          <w:numId w:val="0"/>
        </w:numPr>
      </w:pPr>
    </w:p>
    <w:p w14:paraId="7E2BE6CE" w14:textId="7E589F8B" w:rsidR="00D51AFC" w:rsidRDefault="00D51AFC">
      <w:pPr>
        <w:spacing w:line="259" w:lineRule="auto"/>
        <w:contextualSpacing w:val="0"/>
      </w:pPr>
      <w:r>
        <w:br w:type="page"/>
      </w:r>
    </w:p>
    <w:p w14:paraId="3B8F142E" w14:textId="77777777" w:rsidR="00F25124" w:rsidRPr="00C63591" w:rsidRDefault="00F25124" w:rsidP="00F25124">
      <w:pPr>
        <w:pStyle w:val="Heading1"/>
      </w:pPr>
      <w:bookmarkStart w:id="35" w:name="_Toc152146935"/>
      <w:r>
        <w:lastRenderedPageBreak/>
        <w:t>E</w:t>
      </w:r>
      <w:r w:rsidRPr="00C63591">
        <w:t>xisting Planning Controls</w:t>
      </w:r>
      <w:bookmarkEnd w:id="35"/>
    </w:p>
    <w:p w14:paraId="7B05F596" w14:textId="77777777" w:rsidR="00F25124" w:rsidRDefault="00F25124" w:rsidP="00F25124">
      <w:pPr>
        <w:pStyle w:val="Heading2"/>
      </w:pPr>
      <w:bookmarkStart w:id="36" w:name="_Toc152146936"/>
      <w:r>
        <w:t>Municipal Planning Strategy (MPS)</w:t>
      </w:r>
      <w:bookmarkEnd w:id="36"/>
      <w:r>
        <w:t xml:space="preserve"> </w:t>
      </w:r>
    </w:p>
    <w:p w14:paraId="000C1793" w14:textId="77777777" w:rsidR="00F25124" w:rsidRPr="00182B21" w:rsidRDefault="00F25124" w:rsidP="00833745">
      <w:pPr>
        <w:spacing w:before="120" w:line="280" w:lineRule="atLeast"/>
        <w:jc w:val="both"/>
        <w:rPr>
          <w:sz w:val="20"/>
          <w:szCs w:val="28"/>
        </w:rPr>
      </w:pPr>
      <w:r w:rsidRPr="00182B21">
        <w:rPr>
          <w:sz w:val="20"/>
          <w:szCs w:val="28"/>
        </w:rPr>
        <w:t xml:space="preserve">The MPS is a succinct expression of the overarching strategic policy directions of a municipality. Explaining the planning scheme’s policy foundation, based on the municipality’s location and regional context, history, assets, strengths, key attributes, and influences, and is set out within Clause 02 of the Planning Scheme. </w:t>
      </w:r>
    </w:p>
    <w:p w14:paraId="6AF11D25" w14:textId="77777777" w:rsidR="00F25124" w:rsidRPr="00182B21" w:rsidRDefault="00F25124" w:rsidP="00833745">
      <w:pPr>
        <w:spacing w:before="120" w:line="280" w:lineRule="atLeast"/>
        <w:jc w:val="both"/>
        <w:rPr>
          <w:sz w:val="20"/>
          <w:szCs w:val="28"/>
        </w:rPr>
      </w:pPr>
    </w:p>
    <w:p w14:paraId="3EF7FDDE" w14:textId="77777777" w:rsidR="00F25124" w:rsidRPr="00182B21" w:rsidRDefault="00F25124" w:rsidP="00833745">
      <w:pPr>
        <w:spacing w:before="120" w:line="280" w:lineRule="atLeast"/>
        <w:jc w:val="both"/>
        <w:rPr>
          <w:sz w:val="20"/>
          <w:szCs w:val="28"/>
        </w:rPr>
      </w:pPr>
      <w:r w:rsidRPr="00182B21">
        <w:rPr>
          <w:sz w:val="20"/>
          <w:szCs w:val="28"/>
        </w:rPr>
        <w:t xml:space="preserve">The MPS supports but does not form part of the PPF. Given the nature of the proposed PSA, the MPS is considered to have limited relevance. </w:t>
      </w:r>
    </w:p>
    <w:p w14:paraId="4AD304A4" w14:textId="77777777" w:rsidR="00F25124" w:rsidRDefault="00F25124" w:rsidP="00F25124">
      <w:pPr>
        <w:pStyle w:val="Heading2"/>
      </w:pPr>
      <w:bookmarkStart w:id="37" w:name="_Toc152146937"/>
      <w:r>
        <w:t>Planning Policy Framework (PPF)</w:t>
      </w:r>
      <w:bookmarkEnd w:id="37"/>
      <w:r>
        <w:t xml:space="preserve"> </w:t>
      </w:r>
    </w:p>
    <w:p w14:paraId="1C65DD00" w14:textId="77777777" w:rsidR="00F25124" w:rsidRDefault="00F25124" w:rsidP="00F25124">
      <w:r w:rsidRPr="00182B21">
        <w:rPr>
          <w:sz w:val="20"/>
          <w:szCs w:val="28"/>
        </w:rPr>
        <w:t>Key clauses of the PPF considered applicable to this proposal include:</w:t>
      </w:r>
    </w:p>
    <w:p w14:paraId="0ADBFF2D" w14:textId="77777777" w:rsidR="00F25124" w:rsidRDefault="00F25124" w:rsidP="00F25124"/>
    <w:p w14:paraId="34D92156"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bookmarkStart w:id="38" w:name="_Toc41489997"/>
      <w:bookmarkStart w:id="39" w:name="_Toc41491960"/>
      <w:bookmarkStart w:id="40" w:name="_Toc41493579"/>
      <w:bookmarkStart w:id="41" w:name="_Toc80608397"/>
      <w:bookmarkStart w:id="42" w:name="_Toc82683544"/>
      <w:r w:rsidRPr="00595E2F">
        <w:rPr>
          <w:rFonts w:asciiTheme="majorHAnsi" w:eastAsiaTheme="majorEastAsia" w:hAnsiTheme="majorHAnsi" w:cstheme="majorBidi"/>
          <w:iCs/>
          <w:color w:val="08006A" w:themeColor="accent1" w:themeShade="BF"/>
          <w:sz w:val="20"/>
          <w:szCs w:val="28"/>
        </w:rPr>
        <w:t>Clause 11 – Settlement</w:t>
      </w:r>
      <w:bookmarkEnd w:id="38"/>
      <w:bookmarkEnd w:id="39"/>
      <w:bookmarkEnd w:id="40"/>
      <w:bookmarkEnd w:id="41"/>
      <w:bookmarkEnd w:id="42"/>
    </w:p>
    <w:p w14:paraId="08E0BEBB"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0"/>
        </w:rPr>
      </w:pPr>
    </w:p>
    <w:p w14:paraId="3101C149" w14:textId="77777777" w:rsidR="00F25124" w:rsidRPr="00833745" w:rsidRDefault="00F25124" w:rsidP="00833745">
      <w:pPr>
        <w:spacing w:before="120" w:line="280" w:lineRule="atLeast"/>
        <w:jc w:val="both"/>
        <w:rPr>
          <w:sz w:val="20"/>
          <w:szCs w:val="28"/>
        </w:rPr>
      </w:pPr>
      <w:r w:rsidRPr="00833745">
        <w:rPr>
          <w:sz w:val="20"/>
          <w:szCs w:val="28"/>
        </w:rPr>
        <w:t xml:space="preserve">Clause 11 (Settlement) advocates for planning to anticipate and respond to the needs of existing and future communities through the provision of zoned and serviced land for housing, employment, recreation and open space, commercial and community facilities and infrastructure, recognise the need for a contribute towards health, wellbeing and safety, diversity of choice, adaptation in response to changing technology, economic viability, a high standard of urban design and amenity, energy efficiency, prevention of pollution to land, water and air, protection of environmentally sensitive areas and natural resources, accessibility and land use and transport integration. </w:t>
      </w:r>
    </w:p>
    <w:p w14:paraId="2B60CD96" w14:textId="77777777" w:rsidR="00F25124" w:rsidRPr="00833745" w:rsidRDefault="00F25124" w:rsidP="00833745">
      <w:pPr>
        <w:spacing w:before="120" w:line="280" w:lineRule="atLeast"/>
        <w:jc w:val="both"/>
        <w:rPr>
          <w:sz w:val="20"/>
          <w:szCs w:val="28"/>
        </w:rPr>
      </w:pPr>
    </w:p>
    <w:p w14:paraId="3BBBB295" w14:textId="77777777" w:rsidR="00F25124" w:rsidRPr="00833745" w:rsidRDefault="00F25124" w:rsidP="00833745">
      <w:pPr>
        <w:spacing w:before="120" w:line="280" w:lineRule="atLeast"/>
        <w:jc w:val="both"/>
        <w:rPr>
          <w:sz w:val="20"/>
          <w:szCs w:val="28"/>
        </w:rPr>
      </w:pPr>
      <w:r w:rsidRPr="00833745">
        <w:rPr>
          <w:sz w:val="20"/>
          <w:szCs w:val="28"/>
        </w:rPr>
        <w:t>Clause 11 also advocates for planning to prevent environmental problems created by siting incompatible land uses close together and facilitate sustainable development that takes full advantage of existing settlement patterns, and investment in transport and communication, water and sewerage and social facilities.</w:t>
      </w:r>
    </w:p>
    <w:p w14:paraId="2ABED5B9" w14:textId="77777777" w:rsidR="00F25124" w:rsidRPr="00595E2F" w:rsidRDefault="00F25124" w:rsidP="00F25124">
      <w:pPr>
        <w:rPr>
          <w:sz w:val="20"/>
          <w:szCs w:val="20"/>
        </w:rPr>
      </w:pPr>
    </w:p>
    <w:p w14:paraId="58E5CDDF" w14:textId="189DD321" w:rsidR="00F25124" w:rsidRPr="00833745" w:rsidRDefault="00F25124" w:rsidP="00833745">
      <w:pPr>
        <w:spacing w:before="120" w:line="280" w:lineRule="atLeast"/>
        <w:jc w:val="both"/>
        <w:rPr>
          <w:sz w:val="20"/>
          <w:szCs w:val="28"/>
        </w:rPr>
      </w:pPr>
      <w:r w:rsidRPr="00833745">
        <w:rPr>
          <w:b/>
          <w:bCs/>
          <w:sz w:val="20"/>
          <w:szCs w:val="28"/>
        </w:rPr>
        <w:t>Clause 11.01-1S (Settlement)</w:t>
      </w:r>
      <w:r w:rsidRPr="00833745">
        <w:rPr>
          <w:sz w:val="20"/>
          <w:szCs w:val="28"/>
        </w:rPr>
        <w:t xml:space="preserve"> seeks to “</w:t>
      </w:r>
      <w:r w:rsidRPr="00833745">
        <w:rPr>
          <w:i/>
          <w:iCs/>
          <w:sz w:val="20"/>
          <w:szCs w:val="28"/>
        </w:rPr>
        <w:t>promote the sustainable growth and development of Victoria and deliver</w:t>
      </w:r>
      <w:r w:rsidR="00595E2F" w:rsidRPr="00833745">
        <w:rPr>
          <w:i/>
          <w:iCs/>
          <w:sz w:val="20"/>
          <w:szCs w:val="28"/>
        </w:rPr>
        <w:t xml:space="preserve"> </w:t>
      </w:r>
      <w:r w:rsidRPr="00833745">
        <w:rPr>
          <w:i/>
          <w:iCs/>
          <w:sz w:val="20"/>
          <w:szCs w:val="28"/>
        </w:rPr>
        <w:t>choice and opportunity for all Victorians through a network of settlements.” The policy goes on to identify several points relevant to the proposal, including that development should “promote and capitalise on opportunities for urban renewal and infill development</w:t>
      </w:r>
      <w:r w:rsidRPr="00833745">
        <w:rPr>
          <w:sz w:val="20"/>
          <w:szCs w:val="28"/>
        </w:rPr>
        <w:t>”.</w:t>
      </w:r>
    </w:p>
    <w:p w14:paraId="0317CD71" w14:textId="77777777" w:rsidR="00F25124" w:rsidRPr="00833745" w:rsidRDefault="00F25124" w:rsidP="00833745">
      <w:pPr>
        <w:spacing w:before="120" w:line="280" w:lineRule="atLeast"/>
        <w:jc w:val="both"/>
        <w:rPr>
          <w:sz w:val="20"/>
          <w:szCs w:val="28"/>
        </w:rPr>
      </w:pPr>
    </w:p>
    <w:p w14:paraId="43310AF8" w14:textId="77777777" w:rsidR="00F25124" w:rsidRPr="00833745" w:rsidRDefault="00F25124" w:rsidP="00833745">
      <w:pPr>
        <w:spacing w:before="120" w:line="280" w:lineRule="atLeast"/>
        <w:jc w:val="both"/>
        <w:rPr>
          <w:sz w:val="20"/>
          <w:szCs w:val="28"/>
        </w:rPr>
      </w:pPr>
      <w:bookmarkStart w:id="43" w:name="_Hlk121490562"/>
      <w:r w:rsidRPr="00833745">
        <w:rPr>
          <w:b/>
          <w:bCs/>
          <w:sz w:val="20"/>
          <w:szCs w:val="28"/>
        </w:rPr>
        <w:t>Clause 11.02-1S (Supply of urban land)</w:t>
      </w:r>
      <w:r w:rsidRPr="00833745">
        <w:rPr>
          <w:sz w:val="20"/>
          <w:szCs w:val="28"/>
        </w:rPr>
        <w:t xml:space="preserve"> seeks to “</w:t>
      </w:r>
      <w:r w:rsidRPr="00833745">
        <w:rPr>
          <w:i/>
          <w:iCs/>
          <w:sz w:val="20"/>
          <w:szCs w:val="28"/>
        </w:rPr>
        <w:t>ensure a sufficient supply of land is available for residential, commercial, retail, industrial, recreational, institutional and other community uses</w:t>
      </w:r>
      <w:r w:rsidRPr="00833745">
        <w:rPr>
          <w:sz w:val="20"/>
          <w:szCs w:val="28"/>
        </w:rPr>
        <w:t xml:space="preserve">.” </w:t>
      </w:r>
    </w:p>
    <w:p w14:paraId="4B7E984C" w14:textId="77777777" w:rsidR="00F25124" w:rsidRPr="00595E2F" w:rsidRDefault="00F25124" w:rsidP="00F25124">
      <w:pPr>
        <w:rPr>
          <w:sz w:val="20"/>
          <w:szCs w:val="20"/>
        </w:rPr>
      </w:pPr>
    </w:p>
    <w:bookmarkEnd w:id="43"/>
    <w:p w14:paraId="52A58209" w14:textId="77777777" w:rsidR="00F25124" w:rsidRPr="00595E2F" w:rsidRDefault="00F25124" w:rsidP="00F25124">
      <w:pPr>
        <w:rPr>
          <w:sz w:val="20"/>
          <w:szCs w:val="20"/>
        </w:rPr>
      </w:pPr>
      <w:r w:rsidRPr="00595E2F">
        <w:rPr>
          <w:b/>
          <w:bCs/>
          <w:sz w:val="20"/>
          <w:szCs w:val="20"/>
        </w:rPr>
        <w:t>Clause 11.03-1R (Activity centres – Metropolitan Melbourne)</w:t>
      </w:r>
      <w:r w:rsidRPr="00595E2F">
        <w:rPr>
          <w:sz w:val="20"/>
          <w:szCs w:val="20"/>
        </w:rPr>
        <w:t xml:space="preserve"> seeks to support the development and growth of activity centres. </w:t>
      </w:r>
    </w:p>
    <w:p w14:paraId="327A78B9" w14:textId="77777777" w:rsidR="00F25124" w:rsidRPr="00595E2F" w:rsidRDefault="00F25124" w:rsidP="00F25124">
      <w:pPr>
        <w:rPr>
          <w:i/>
          <w:iCs/>
          <w:sz w:val="20"/>
          <w:szCs w:val="20"/>
        </w:rPr>
      </w:pPr>
    </w:p>
    <w:p w14:paraId="1F7628CD"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bookmarkStart w:id="44" w:name="_Toc82683545"/>
      <w:r w:rsidRPr="00595E2F">
        <w:rPr>
          <w:rFonts w:asciiTheme="majorHAnsi" w:eastAsiaTheme="majorEastAsia" w:hAnsiTheme="majorHAnsi" w:cstheme="majorBidi"/>
          <w:iCs/>
          <w:color w:val="08006A" w:themeColor="accent1" w:themeShade="BF"/>
          <w:sz w:val="20"/>
          <w:szCs w:val="28"/>
        </w:rPr>
        <w:t>Clause 15 – Built Environment and Heritage</w:t>
      </w:r>
      <w:bookmarkEnd w:id="44"/>
    </w:p>
    <w:p w14:paraId="130800EA"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p>
    <w:p w14:paraId="3517CC94" w14:textId="77777777" w:rsidR="00F25124" w:rsidRPr="00595E2F" w:rsidRDefault="00F25124" w:rsidP="00833745">
      <w:pPr>
        <w:spacing w:before="120" w:line="280" w:lineRule="atLeast"/>
        <w:jc w:val="both"/>
        <w:rPr>
          <w:sz w:val="20"/>
          <w:szCs w:val="28"/>
        </w:rPr>
      </w:pPr>
      <w:r w:rsidRPr="00595E2F">
        <w:rPr>
          <w:sz w:val="20"/>
          <w:szCs w:val="28"/>
        </w:rPr>
        <w:t>Clause 15 addresses the design of the built environment and includes the principle objectives of ensuring land use and development responds to its landscape, character, valued built form and cultural context, and delivering functional, accessible, safe and diverse physical and social environments through the appropriate location of use and development and through high-quality buildings and urban design.</w:t>
      </w:r>
    </w:p>
    <w:p w14:paraId="6D100CC0" w14:textId="77777777" w:rsidR="00F25124" w:rsidRPr="00595E2F" w:rsidRDefault="00F25124" w:rsidP="00F25124">
      <w:pPr>
        <w:rPr>
          <w:sz w:val="20"/>
          <w:szCs w:val="28"/>
        </w:rPr>
      </w:pPr>
    </w:p>
    <w:p w14:paraId="1BC60A6D" w14:textId="77777777" w:rsidR="00F25124" w:rsidRPr="00833745" w:rsidRDefault="00F25124" w:rsidP="00833745">
      <w:pPr>
        <w:spacing w:before="120" w:line="280" w:lineRule="atLeast"/>
        <w:jc w:val="both"/>
        <w:rPr>
          <w:i/>
          <w:iCs/>
          <w:sz w:val="20"/>
          <w:szCs w:val="28"/>
        </w:rPr>
      </w:pPr>
      <w:r w:rsidRPr="00833745">
        <w:rPr>
          <w:b/>
          <w:bCs/>
          <w:sz w:val="20"/>
          <w:szCs w:val="28"/>
        </w:rPr>
        <w:t>Clause 15.01-11 (Urban design)</w:t>
      </w:r>
      <w:r w:rsidRPr="00595E2F">
        <w:rPr>
          <w:sz w:val="20"/>
          <w:szCs w:val="28"/>
        </w:rPr>
        <w:t xml:space="preserve"> seeks to “</w:t>
      </w:r>
      <w:r w:rsidRPr="00833745">
        <w:rPr>
          <w:i/>
          <w:iCs/>
          <w:sz w:val="20"/>
          <w:szCs w:val="28"/>
        </w:rPr>
        <w:t xml:space="preserve">create urban environments that are safe, healthy, functional and enjoyable and that contribute to a sense of place and cultural identity.” </w:t>
      </w:r>
    </w:p>
    <w:p w14:paraId="178AC800" w14:textId="77777777" w:rsidR="00F25124" w:rsidRPr="00595E2F" w:rsidRDefault="00F25124" w:rsidP="00833745">
      <w:pPr>
        <w:spacing w:before="120" w:line="280" w:lineRule="atLeast"/>
        <w:jc w:val="both"/>
        <w:rPr>
          <w:sz w:val="20"/>
          <w:szCs w:val="28"/>
        </w:rPr>
      </w:pPr>
    </w:p>
    <w:p w14:paraId="422757A8" w14:textId="77777777" w:rsidR="00F25124" w:rsidRPr="00595E2F" w:rsidRDefault="00F25124" w:rsidP="00833745">
      <w:pPr>
        <w:spacing w:before="120" w:line="280" w:lineRule="atLeast"/>
        <w:jc w:val="both"/>
        <w:rPr>
          <w:sz w:val="20"/>
          <w:szCs w:val="28"/>
        </w:rPr>
      </w:pPr>
      <w:r w:rsidRPr="00595E2F">
        <w:rPr>
          <w:sz w:val="20"/>
          <w:szCs w:val="28"/>
        </w:rPr>
        <w:lastRenderedPageBreak/>
        <w:t xml:space="preserve">A number of sub-clauses of Clause 15 are also considered relevant, which address urban design, building and subdivision design, neighbourhood character and sustainable development. </w:t>
      </w:r>
    </w:p>
    <w:p w14:paraId="7A5A8F96" w14:textId="77777777" w:rsidR="00F25124" w:rsidRPr="00595E2F" w:rsidRDefault="00F25124" w:rsidP="00833745">
      <w:pPr>
        <w:spacing w:before="120" w:line="280" w:lineRule="atLeast"/>
        <w:jc w:val="both"/>
        <w:rPr>
          <w:sz w:val="20"/>
          <w:szCs w:val="28"/>
        </w:rPr>
      </w:pPr>
    </w:p>
    <w:p w14:paraId="7F43593C" w14:textId="77777777" w:rsidR="00F25124" w:rsidRPr="00595E2F" w:rsidRDefault="00F25124" w:rsidP="00833745">
      <w:pPr>
        <w:spacing w:before="120" w:line="280" w:lineRule="atLeast"/>
        <w:jc w:val="both"/>
        <w:rPr>
          <w:sz w:val="20"/>
          <w:szCs w:val="28"/>
        </w:rPr>
      </w:pPr>
      <w:r w:rsidRPr="00833745">
        <w:rPr>
          <w:b/>
          <w:bCs/>
          <w:sz w:val="20"/>
          <w:szCs w:val="28"/>
        </w:rPr>
        <w:t>Clause 15.01-2S (Building design)</w:t>
      </w:r>
      <w:r w:rsidRPr="00595E2F">
        <w:rPr>
          <w:sz w:val="20"/>
          <w:szCs w:val="28"/>
        </w:rPr>
        <w:t xml:space="preserve"> seeks to </w:t>
      </w:r>
      <w:r w:rsidRPr="00833745">
        <w:rPr>
          <w:i/>
          <w:iCs/>
          <w:sz w:val="20"/>
          <w:szCs w:val="28"/>
        </w:rPr>
        <w:t>“achieve building design outcomes that contribute positively to the local context and enhance the public realm.”</w:t>
      </w:r>
      <w:r w:rsidRPr="00595E2F">
        <w:rPr>
          <w:sz w:val="20"/>
          <w:szCs w:val="28"/>
        </w:rPr>
        <w:t xml:space="preserve"> </w:t>
      </w:r>
    </w:p>
    <w:p w14:paraId="55C35ACA" w14:textId="77777777" w:rsidR="00F25124" w:rsidRPr="00595E2F" w:rsidRDefault="00F25124" w:rsidP="00833745">
      <w:pPr>
        <w:spacing w:before="120" w:line="280" w:lineRule="atLeast"/>
        <w:jc w:val="both"/>
        <w:rPr>
          <w:sz w:val="20"/>
          <w:szCs w:val="28"/>
        </w:rPr>
      </w:pPr>
    </w:p>
    <w:p w14:paraId="427EEB4C" w14:textId="77777777" w:rsidR="00F25124" w:rsidRPr="00595E2F" w:rsidRDefault="00F25124" w:rsidP="00833745">
      <w:pPr>
        <w:spacing w:before="120" w:line="280" w:lineRule="atLeast"/>
        <w:jc w:val="both"/>
        <w:rPr>
          <w:sz w:val="20"/>
          <w:szCs w:val="28"/>
        </w:rPr>
      </w:pPr>
      <w:r w:rsidRPr="00833745">
        <w:rPr>
          <w:b/>
          <w:bCs/>
          <w:sz w:val="20"/>
          <w:szCs w:val="28"/>
        </w:rPr>
        <w:t>Clause 15.03-1L-02 (Heritage)</w:t>
      </w:r>
      <w:r w:rsidRPr="00833745">
        <w:rPr>
          <w:sz w:val="20"/>
          <w:szCs w:val="28"/>
        </w:rPr>
        <w:t xml:space="preserve"> </w:t>
      </w:r>
      <w:r w:rsidRPr="00595E2F">
        <w:rPr>
          <w:sz w:val="20"/>
          <w:szCs w:val="28"/>
        </w:rPr>
        <w:t xml:space="preserve">applies to places located within the Heritage Overlay, and to properties that are considered </w:t>
      </w:r>
      <w:r w:rsidRPr="00833745">
        <w:rPr>
          <w:i/>
          <w:iCs/>
          <w:sz w:val="20"/>
          <w:szCs w:val="28"/>
        </w:rPr>
        <w:t>‘significant’</w:t>
      </w:r>
      <w:r w:rsidRPr="00833745">
        <w:rPr>
          <w:sz w:val="20"/>
          <w:szCs w:val="28"/>
        </w:rPr>
        <w:t xml:space="preserve">, </w:t>
      </w:r>
      <w:r w:rsidRPr="00833745">
        <w:rPr>
          <w:i/>
          <w:iCs/>
          <w:sz w:val="20"/>
          <w:szCs w:val="28"/>
        </w:rPr>
        <w:t>‘contributory’</w:t>
      </w:r>
      <w:r w:rsidRPr="00595E2F">
        <w:rPr>
          <w:sz w:val="20"/>
          <w:szCs w:val="28"/>
        </w:rPr>
        <w:t xml:space="preserve">, and </w:t>
      </w:r>
      <w:r w:rsidRPr="00833745">
        <w:rPr>
          <w:sz w:val="20"/>
          <w:szCs w:val="28"/>
        </w:rPr>
        <w:t>‘</w:t>
      </w:r>
      <w:r w:rsidRPr="00833745">
        <w:rPr>
          <w:i/>
          <w:iCs/>
          <w:sz w:val="20"/>
          <w:szCs w:val="28"/>
        </w:rPr>
        <w:t>non-contributory’</w:t>
      </w:r>
      <w:r w:rsidRPr="00833745">
        <w:rPr>
          <w:sz w:val="20"/>
          <w:szCs w:val="28"/>
        </w:rPr>
        <w:t xml:space="preserve">. </w:t>
      </w:r>
      <w:r w:rsidRPr="00595E2F">
        <w:rPr>
          <w:sz w:val="20"/>
          <w:szCs w:val="28"/>
        </w:rPr>
        <w:t>The policy encourages the retention and enhancement of heritage assets and places with heritage qualities.</w:t>
      </w:r>
    </w:p>
    <w:p w14:paraId="1A159C60" w14:textId="77777777" w:rsidR="00F25124" w:rsidRPr="00595E2F" w:rsidRDefault="00F25124" w:rsidP="00F25124">
      <w:pPr>
        <w:rPr>
          <w:sz w:val="20"/>
          <w:szCs w:val="28"/>
        </w:rPr>
      </w:pPr>
    </w:p>
    <w:p w14:paraId="4A1CD994"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bookmarkStart w:id="45" w:name="_Toc41490002"/>
      <w:bookmarkStart w:id="46" w:name="_Toc41491965"/>
      <w:bookmarkStart w:id="47" w:name="_Toc41493584"/>
      <w:bookmarkStart w:id="48" w:name="_Toc80608402"/>
      <w:bookmarkStart w:id="49" w:name="_Toc82683547"/>
      <w:r w:rsidRPr="00595E2F">
        <w:rPr>
          <w:rFonts w:asciiTheme="majorHAnsi" w:eastAsiaTheme="majorEastAsia" w:hAnsiTheme="majorHAnsi" w:cstheme="majorBidi"/>
          <w:iCs/>
          <w:color w:val="08006A" w:themeColor="accent1" w:themeShade="BF"/>
          <w:sz w:val="20"/>
          <w:szCs w:val="28"/>
        </w:rPr>
        <w:t>Clause 17 – Economic Development</w:t>
      </w:r>
      <w:bookmarkEnd w:id="45"/>
      <w:bookmarkEnd w:id="46"/>
      <w:bookmarkEnd w:id="47"/>
      <w:bookmarkEnd w:id="48"/>
      <w:bookmarkEnd w:id="49"/>
    </w:p>
    <w:p w14:paraId="4FD3E047"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p>
    <w:p w14:paraId="0E4FD1A6" w14:textId="77777777" w:rsidR="00F25124" w:rsidRPr="00833745" w:rsidRDefault="00F25124" w:rsidP="00833745">
      <w:pPr>
        <w:spacing w:before="120" w:line="280" w:lineRule="atLeast"/>
        <w:jc w:val="both"/>
        <w:rPr>
          <w:sz w:val="20"/>
          <w:szCs w:val="28"/>
        </w:rPr>
      </w:pPr>
      <w:r w:rsidRPr="00833745">
        <w:rPr>
          <w:sz w:val="20"/>
          <w:szCs w:val="28"/>
        </w:rPr>
        <w:t xml:space="preserve">Clause 17 addresses the importance of planning in providing for a diversity of land uses and industries which can facilitate the economic development of an area. </w:t>
      </w:r>
    </w:p>
    <w:p w14:paraId="272A7638" w14:textId="77777777" w:rsidR="00F25124" w:rsidRPr="00833745" w:rsidRDefault="00F25124" w:rsidP="00833745">
      <w:pPr>
        <w:spacing w:before="120" w:line="280" w:lineRule="atLeast"/>
        <w:jc w:val="both"/>
        <w:rPr>
          <w:b/>
          <w:bCs/>
          <w:sz w:val="20"/>
          <w:szCs w:val="28"/>
        </w:rPr>
      </w:pPr>
    </w:p>
    <w:p w14:paraId="2305FC91" w14:textId="77777777" w:rsidR="00F25124" w:rsidRPr="00595E2F" w:rsidRDefault="00F25124" w:rsidP="00833745">
      <w:pPr>
        <w:spacing w:before="120" w:line="280" w:lineRule="atLeast"/>
        <w:jc w:val="both"/>
        <w:rPr>
          <w:sz w:val="20"/>
          <w:szCs w:val="28"/>
        </w:rPr>
      </w:pPr>
      <w:r w:rsidRPr="00833745">
        <w:rPr>
          <w:b/>
          <w:bCs/>
          <w:sz w:val="20"/>
          <w:szCs w:val="28"/>
        </w:rPr>
        <w:t>Clause 17.01-1S (Diversified economy)</w:t>
      </w:r>
      <w:r w:rsidRPr="00595E2F">
        <w:rPr>
          <w:sz w:val="20"/>
          <w:szCs w:val="28"/>
        </w:rPr>
        <w:t xml:space="preserve"> seeks to “</w:t>
      </w:r>
      <w:r w:rsidRPr="00833745">
        <w:rPr>
          <w:i/>
          <w:iCs/>
          <w:sz w:val="20"/>
          <w:szCs w:val="28"/>
        </w:rPr>
        <w:t>strengthen and diversify the economy.”</w:t>
      </w:r>
      <w:r w:rsidRPr="00595E2F">
        <w:rPr>
          <w:sz w:val="20"/>
          <w:szCs w:val="28"/>
        </w:rPr>
        <w:t xml:space="preserve"> </w:t>
      </w:r>
    </w:p>
    <w:p w14:paraId="37B6FF53" w14:textId="77777777" w:rsidR="00F25124" w:rsidRPr="00595E2F" w:rsidRDefault="00F25124" w:rsidP="00833745">
      <w:pPr>
        <w:spacing w:before="120" w:line="280" w:lineRule="atLeast"/>
        <w:jc w:val="both"/>
        <w:rPr>
          <w:sz w:val="20"/>
          <w:szCs w:val="28"/>
        </w:rPr>
      </w:pPr>
    </w:p>
    <w:p w14:paraId="026DD2EC" w14:textId="77777777" w:rsidR="00F25124" w:rsidRPr="00595E2F" w:rsidRDefault="00F25124" w:rsidP="00833745">
      <w:pPr>
        <w:spacing w:before="120" w:line="280" w:lineRule="atLeast"/>
        <w:jc w:val="both"/>
        <w:rPr>
          <w:sz w:val="20"/>
          <w:szCs w:val="28"/>
        </w:rPr>
      </w:pPr>
      <w:r w:rsidRPr="00595E2F">
        <w:rPr>
          <w:sz w:val="20"/>
          <w:szCs w:val="28"/>
        </w:rPr>
        <w:t>Strategies relevant to the subject site to achieve this objective include:</w:t>
      </w:r>
    </w:p>
    <w:p w14:paraId="56804E57" w14:textId="33815DC9" w:rsidR="00595E2F" w:rsidRPr="00833745" w:rsidRDefault="00F25124" w:rsidP="00833745">
      <w:pPr>
        <w:pStyle w:val="ESNumberedBullet1"/>
        <w:spacing w:before="120" w:line="280" w:lineRule="atLeast"/>
        <w:rPr>
          <w:i/>
          <w:iCs/>
          <w:sz w:val="20"/>
          <w:szCs w:val="28"/>
        </w:rPr>
      </w:pPr>
      <w:r w:rsidRPr="00833745">
        <w:rPr>
          <w:i/>
          <w:iCs/>
          <w:sz w:val="20"/>
          <w:szCs w:val="28"/>
        </w:rPr>
        <w:t>Facilitate growth in a range of employment sectors, including health, education, retail, tourism, knowledge industries and professional and technical services based on the emerging and existing strengths of each region.</w:t>
      </w:r>
    </w:p>
    <w:p w14:paraId="05165D01" w14:textId="77777777" w:rsidR="00F25124" w:rsidRPr="00833745" w:rsidRDefault="00F25124" w:rsidP="00833745">
      <w:pPr>
        <w:pStyle w:val="ESNumberedBullet1"/>
        <w:spacing w:before="120" w:line="280" w:lineRule="atLeast"/>
        <w:rPr>
          <w:i/>
          <w:iCs/>
          <w:sz w:val="20"/>
          <w:szCs w:val="28"/>
        </w:rPr>
      </w:pPr>
      <w:r w:rsidRPr="00833745">
        <w:rPr>
          <w:i/>
          <w:iCs/>
          <w:sz w:val="20"/>
          <w:szCs w:val="28"/>
        </w:rPr>
        <w:t>Improve access to jobs closer to where people live.</w:t>
      </w:r>
    </w:p>
    <w:p w14:paraId="45FAAFF4" w14:textId="77777777" w:rsidR="00F25124" w:rsidRPr="00595E2F" w:rsidRDefault="00F25124" w:rsidP="00833745">
      <w:pPr>
        <w:spacing w:before="120" w:line="280" w:lineRule="atLeast"/>
        <w:jc w:val="both"/>
        <w:rPr>
          <w:sz w:val="20"/>
          <w:szCs w:val="28"/>
        </w:rPr>
      </w:pPr>
      <w:r w:rsidRPr="00833745">
        <w:rPr>
          <w:b/>
          <w:bCs/>
          <w:sz w:val="20"/>
          <w:szCs w:val="28"/>
        </w:rPr>
        <w:t>Clause 17.02-1S (Business)</w:t>
      </w:r>
      <w:r w:rsidRPr="00595E2F">
        <w:rPr>
          <w:sz w:val="20"/>
          <w:szCs w:val="28"/>
        </w:rPr>
        <w:t xml:space="preserve"> seeks to “</w:t>
      </w:r>
      <w:r w:rsidRPr="00833745">
        <w:rPr>
          <w:i/>
          <w:iCs/>
          <w:sz w:val="20"/>
          <w:szCs w:val="28"/>
        </w:rPr>
        <w:t>encourage development that meets the community’s needs for retail, entertainment, office and other commercial services.”</w:t>
      </w:r>
      <w:r w:rsidRPr="00595E2F">
        <w:rPr>
          <w:sz w:val="20"/>
          <w:szCs w:val="28"/>
        </w:rPr>
        <w:t xml:space="preserve"> </w:t>
      </w:r>
    </w:p>
    <w:p w14:paraId="3D3CED25" w14:textId="77777777" w:rsidR="00F25124" w:rsidRPr="00595E2F" w:rsidRDefault="00F25124" w:rsidP="00F25124">
      <w:pPr>
        <w:rPr>
          <w:sz w:val="20"/>
          <w:szCs w:val="28"/>
        </w:rPr>
      </w:pPr>
    </w:p>
    <w:p w14:paraId="6562858C" w14:textId="77777777" w:rsidR="00F25124" w:rsidRPr="00595E2F" w:rsidRDefault="00F25124" w:rsidP="00F25124">
      <w:pPr>
        <w:keepNext/>
        <w:keepLines/>
        <w:spacing w:before="280"/>
        <w:outlineLvl w:val="3"/>
        <w:rPr>
          <w:rFonts w:asciiTheme="majorHAnsi" w:eastAsiaTheme="majorEastAsia" w:hAnsiTheme="majorHAnsi" w:cstheme="majorBidi"/>
          <w:iCs/>
          <w:color w:val="08006A" w:themeColor="accent1" w:themeShade="BF"/>
          <w:sz w:val="20"/>
          <w:szCs w:val="28"/>
        </w:rPr>
      </w:pPr>
      <w:bookmarkStart w:id="50" w:name="_Toc41490003"/>
      <w:bookmarkStart w:id="51" w:name="_Toc41491966"/>
      <w:bookmarkStart w:id="52" w:name="_Toc41493585"/>
      <w:bookmarkStart w:id="53" w:name="_Toc80608403"/>
      <w:bookmarkStart w:id="54" w:name="_Toc82683548"/>
      <w:r w:rsidRPr="00595E2F">
        <w:rPr>
          <w:rFonts w:asciiTheme="majorHAnsi" w:eastAsiaTheme="majorEastAsia" w:hAnsiTheme="majorHAnsi" w:cstheme="majorBidi"/>
          <w:iCs/>
          <w:color w:val="08006A" w:themeColor="accent1" w:themeShade="BF"/>
          <w:sz w:val="20"/>
          <w:szCs w:val="28"/>
        </w:rPr>
        <w:t>Clause 18 – Transport</w:t>
      </w:r>
      <w:bookmarkEnd w:id="50"/>
      <w:bookmarkEnd w:id="51"/>
      <w:bookmarkEnd w:id="52"/>
      <w:bookmarkEnd w:id="53"/>
      <w:bookmarkEnd w:id="54"/>
    </w:p>
    <w:p w14:paraId="0FAA3549" w14:textId="77777777" w:rsidR="00F25124" w:rsidRPr="00833745" w:rsidRDefault="00F25124" w:rsidP="00833745">
      <w:pPr>
        <w:spacing w:before="120" w:line="280" w:lineRule="atLeast"/>
        <w:jc w:val="both"/>
        <w:rPr>
          <w:b/>
          <w:bCs/>
          <w:sz w:val="20"/>
          <w:szCs w:val="28"/>
        </w:rPr>
      </w:pPr>
    </w:p>
    <w:p w14:paraId="0FCAFACD" w14:textId="496A9F42" w:rsidR="00F25124" w:rsidRPr="00833745" w:rsidRDefault="00F25124" w:rsidP="00833745">
      <w:pPr>
        <w:spacing w:before="120" w:line="280" w:lineRule="atLeast"/>
        <w:jc w:val="both"/>
        <w:rPr>
          <w:sz w:val="20"/>
          <w:szCs w:val="28"/>
        </w:rPr>
      </w:pPr>
      <w:r w:rsidRPr="00833745">
        <w:rPr>
          <w:sz w:val="20"/>
          <w:szCs w:val="28"/>
        </w:rPr>
        <w:t xml:space="preserve">Clause 18 addresses the integration of sustainable transport systems to provide access to social and economic opportunities and to ensure it provides reliable movements of people and goods. </w:t>
      </w:r>
    </w:p>
    <w:p w14:paraId="790456AC" w14:textId="77777777" w:rsidR="00F25124" w:rsidRPr="00833745" w:rsidRDefault="00F25124" w:rsidP="00833745">
      <w:pPr>
        <w:spacing w:before="120" w:line="280" w:lineRule="atLeast"/>
        <w:jc w:val="both"/>
        <w:rPr>
          <w:sz w:val="20"/>
          <w:szCs w:val="28"/>
        </w:rPr>
      </w:pPr>
    </w:p>
    <w:p w14:paraId="367DFA46" w14:textId="77777777" w:rsidR="00F25124" w:rsidRPr="00833745" w:rsidRDefault="00F25124" w:rsidP="00833745">
      <w:pPr>
        <w:spacing w:before="120" w:line="280" w:lineRule="atLeast"/>
        <w:jc w:val="both"/>
        <w:rPr>
          <w:sz w:val="20"/>
          <w:szCs w:val="28"/>
        </w:rPr>
      </w:pPr>
      <w:r w:rsidRPr="00833745">
        <w:rPr>
          <w:b/>
          <w:bCs/>
          <w:sz w:val="20"/>
          <w:szCs w:val="28"/>
        </w:rPr>
        <w:t>Clause 18.02-2S (Public transport)</w:t>
      </w:r>
      <w:r w:rsidRPr="00833745">
        <w:rPr>
          <w:sz w:val="20"/>
          <w:szCs w:val="28"/>
        </w:rPr>
        <w:t xml:space="preserve"> seeks to </w:t>
      </w:r>
      <w:r w:rsidRPr="00833745">
        <w:rPr>
          <w:i/>
          <w:iCs/>
          <w:sz w:val="20"/>
          <w:szCs w:val="28"/>
        </w:rPr>
        <w:t>“facilitate greater use of public transport and promote increased development close to high quality public transport routes.”</w:t>
      </w:r>
    </w:p>
    <w:p w14:paraId="19F71797" w14:textId="77777777" w:rsidR="00F25124" w:rsidRPr="00833745" w:rsidRDefault="00F25124" w:rsidP="00833745">
      <w:pPr>
        <w:spacing w:before="120" w:line="280" w:lineRule="atLeast"/>
        <w:jc w:val="both"/>
        <w:rPr>
          <w:sz w:val="20"/>
          <w:szCs w:val="28"/>
        </w:rPr>
      </w:pPr>
    </w:p>
    <w:p w14:paraId="3750AC43" w14:textId="77777777" w:rsidR="00F25124" w:rsidRPr="00833745" w:rsidRDefault="00F25124" w:rsidP="00833745">
      <w:pPr>
        <w:spacing w:before="120" w:line="280" w:lineRule="atLeast"/>
        <w:jc w:val="both"/>
        <w:rPr>
          <w:i/>
          <w:iCs/>
          <w:sz w:val="20"/>
          <w:szCs w:val="28"/>
        </w:rPr>
      </w:pPr>
      <w:r w:rsidRPr="00833745">
        <w:rPr>
          <w:b/>
          <w:bCs/>
          <w:sz w:val="20"/>
          <w:szCs w:val="28"/>
        </w:rPr>
        <w:t>Clause 18.02-4S (Car parking)</w:t>
      </w:r>
      <w:r w:rsidRPr="00833745">
        <w:rPr>
          <w:sz w:val="20"/>
          <w:szCs w:val="28"/>
        </w:rPr>
        <w:t xml:space="preserve"> seeks to </w:t>
      </w:r>
      <w:r w:rsidRPr="00833745">
        <w:rPr>
          <w:i/>
          <w:iCs/>
          <w:sz w:val="20"/>
          <w:szCs w:val="28"/>
        </w:rPr>
        <w:t xml:space="preserve">“ensure an adequate supply of car parking that is appropriately designed and located.” </w:t>
      </w:r>
    </w:p>
    <w:p w14:paraId="2CED46DB" w14:textId="77777777" w:rsidR="00F25124" w:rsidRPr="00833745" w:rsidRDefault="00F25124" w:rsidP="00F25124">
      <w:pPr>
        <w:spacing w:line="259" w:lineRule="auto"/>
        <w:contextualSpacing w:val="0"/>
        <w:rPr>
          <w:i/>
          <w:iCs/>
          <w:sz w:val="20"/>
          <w:szCs w:val="28"/>
        </w:rPr>
      </w:pPr>
      <w:r w:rsidRPr="00833745">
        <w:rPr>
          <w:i/>
          <w:iCs/>
          <w:sz w:val="20"/>
          <w:szCs w:val="28"/>
        </w:rPr>
        <w:br w:type="page"/>
      </w:r>
    </w:p>
    <w:p w14:paraId="6B9137F2" w14:textId="77777777" w:rsidR="00F25124" w:rsidRDefault="00F25124" w:rsidP="00F25124">
      <w:pPr>
        <w:pStyle w:val="Heading2"/>
      </w:pPr>
      <w:bookmarkStart w:id="55" w:name="_Toc152146938"/>
      <w:r>
        <w:lastRenderedPageBreak/>
        <w:t>Zones, Overlays and Particular Provisions</w:t>
      </w:r>
      <w:bookmarkEnd w:id="55"/>
      <w:r>
        <w:t xml:space="preserve"> </w:t>
      </w:r>
    </w:p>
    <w:p w14:paraId="3D1C27F7" w14:textId="77777777" w:rsidR="00F25124" w:rsidRDefault="00F25124" w:rsidP="00F25124">
      <w:pPr>
        <w:pStyle w:val="Heading3"/>
      </w:pPr>
      <w:r>
        <w:t>Existing Zone (General Residential Zone – Schedule 1)</w:t>
      </w:r>
    </w:p>
    <w:p w14:paraId="7C35FBAE" w14:textId="71139992" w:rsidR="00F25124" w:rsidRPr="00595E2F" w:rsidRDefault="00F25124" w:rsidP="00833745">
      <w:pPr>
        <w:spacing w:before="120" w:line="280" w:lineRule="atLeast"/>
        <w:jc w:val="both"/>
        <w:rPr>
          <w:sz w:val="20"/>
          <w:szCs w:val="28"/>
        </w:rPr>
      </w:pPr>
      <w:r w:rsidRPr="00595E2F">
        <w:rPr>
          <w:sz w:val="20"/>
          <w:szCs w:val="28"/>
        </w:rPr>
        <w:t>The subject site is located within the General Residential Zone – Schedule 1 (GRZ1), as shown in</w:t>
      </w:r>
      <w:r w:rsidRPr="00833745">
        <w:rPr>
          <w:b/>
          <w:bCs/>
          <w:sz w:val="20"/>
          <w:szCs w:val="28"/>
        </w:rPr>
        <w:t xml:space="preserve"> Figure </w:t>
      </w:r>
      <w:r w:rsidR="004811B8" w:rsidRPr="00833745">
        <w:rPr>
          <w:b/>
          <w:bCs/>
          <w:sz w:val="20"/>
          <w:szCs w:val="28"/>
        </w:rPr>
        <w:t>4</w:t>
      </w:r>
      <w:r w:rsidRPr="00595E2F">
        <w:rPr>
          <w:sz w:val="20"/>
          <w:szCs w:val="28"/>
        </w:rPr>
        <w:t xml:space="preserve">. </w:t>
      </w:r>
    </w:p>
    <w:p w14:paraId="3E0530F5" w14:textId="77777777" w:rsidR="00F25124" w:rsidRPr="00595E2F" w:rsidRDefault="00F25124" w:rsidP="00833745">
      <w:pPr>
        <w:spacing w:before="120" w:line="280" w:lineRule="atLeast"/>
        <w:jc w:val="both"/>
        <w:rPr>
          <w:sz w:val="20"/>
          <w:szCs w:val="28"/>
        </w:rPr>
      </w:pPr>
    </w:p>
    <w:p w14:paraId="6833EC76" w14:textId="77777777" w:rsidR="00F25124" w:rsidRPr="00595E2F" w:rsidRDefault="00F25124" w:rsidP="00833745">
      <w:pPr>
        <w:spacing w:before="120" w:line="280" w:lineRule="atLeast"/>
        <w:jc w:val="both"/>
        <w:rPr>
          <w:sz w:val="20"/>
          <w:szCs w:val="28"/>
        </w:rPr>
      </w:pPr>
      <w:r w:rsidRPr="00595E2F">
        <w:rPr>
          <w:sz w:val="20"/>
          <w:szCs w:val="28"/>
        </w:rPr>
        <w:t>The Purpose of the GRZ1 is:</w:t>
      </w:r>
    </w:p>
    <w:p w14:paraId="2B035352"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implement the Municipal Planning Strategy and the Planning Policy Framework.</w:t>
      </w:r>
    </w:p>
    <w:p w14:paraId="39A02C35"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encourage development that respects the neighbourhood character of the area.</w:t>
      </w:r>
    </w:p>
    <w:p w14:paraId="50CCC8AA"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encourage a diversity of housing types and housing growth particularly in locations offering good access to services and transport.</w:t>
      </w:r>
    </w:p>
    <w:p w14:paraId="5B3B12AC" w14:textId="612295EC" w:rsidR="00F25124" w:rsidRPr="00595E2F" w:rsidRDefault="00F25124" w:rsidP="00833745">
      <w:pPr>
        <w:pStyle w:val="ESNumberedBullet1"/>
        <w:spacing w:before="120" w:line="280" w:lineRule="atLeast"/>
        <w:rPr>
          <w:i/>
          <w:iCs/>
          <w:sz w:val="20"/>
          <w:szCs w:val="28"/>
        </w:rPr>
      </w:pPr>
      <w:r w:rsidRPr="00595E2F">
        <w:rPr>
          <w:i/>
          <w:iCs/>
          <w:sz w:val="20"/>
          <w:szCs w:val="28"/>
        </w:rPr>
        <w:t>To allow educational, recreational, religious, community and a limited range of other non-residential uses to serve local community needs in appropriate locations</w:t>
      </w:r>
      <w:r w:rsidR="00595E2F" w:rsidRPr="00595E2F">
        <w:rPr>
          <w:i/>
          <w:iCs/>
          <w:sz w:val="20"/>
          <w:szCs w:val="28"/>
        </w:rPr>
        <w:t>.</w:t>
      </w:r>
    </w:p>
    <w:p w14:paraId="0448466D" w14:textId="77777777" w:rsidR="00F25124" w:rsidRDefault="00F25124" w:rsidP="00F25124"/>
    <w:p w14:paraId="63C27353" w14:textId="02B7397B" w:rsidR="00F25124" w:rsidRDefault="00F25124" w:rsidP="00F25124">
      <w:r w:rsidRPr="00E36A4D">
        <w:rPr>
          <w:noProof/>
        </w:rPr>
        <w:drawing>
          <wp:inline distT="0" distB="0" distL="0" distR="0" wp14:anchorId="52386AFC" wp14:editId="73178774">
            <wp:extent cx="5607050" cy="3044985"/>
            <wp:effectExtent l="0" t="0" r="0" b="3175"/>
            <wp:docPr id="1" name="Picture 1" descr="Map showing the subject site in the General Residential Zone – Schedul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showing the subject site in the General Residential Zone – Schedule 1 "/>
                    <pic:cNvPicPr/>
                  </pic:nvPicPr>
                  <pic:blipFill rotWithShape="1">
                    <a:blip r:embed="rId24"/>
                    <a:srcRect l="7720" t="17852" r="5758" b="1362"/>
                    <a:stretch/>
                  </pic:blipFill>
                  <pic:spPr bwMode="auto">
                    <a:xfrm>
                      <a:off x="0" y="0"/>
                      <a:ext cx="5607306" cy="3045124"/>
                    </a:xfrm>
                    <a:prstGeom prst="rect">
                      <a:avLst/>
                    </a:prstGeom>
                    <a:ln>
                      <a:noFill/>
                    </a:ln>
                    <a:extLst>
                      <a:ext uri="{53640926-AAD7-44D8-BBD7-CCE9431645EC}">
                        <a14:shadowObscured xmlns:a14="http://schemas.microsoft.com/office/drawing/2010/main"/>
                      </a:ext>
                    </a:extLst>
                  </pic:spPr>
                </pic:pic>
              </a:graphicData>
            </a:graphic>
          </wp:inline>
        </w:drawing>
      </w:r>
      <w:r w:rsidR="00714D8B">
        <w:t xml:space="preserve"> </w:t>
      </w:r>
    </w:p>
    <w:p w14:paraId="67D96342" w14:textId="1AF0983B" w:rsidR="00F25124" w:rsidRPr="00C01256" w:rsidRDefault="00F25124" w:rsidP="00F25124">
      <w:pPr>
        <w:pStyle w:val="Caption"/>
        <w:rPr>
          <w:i w:val="0"/>
          <w:iCs w:val="0"/>
        </w:rPr>
      </w:pPr>
      <w:bookmarkStart w:id="56" w:name="_Toc104424974"/>
      <w:bookmarkStart w:id="57" w:name="_Toc149851764"/>
      <w:r w:rsidRPr="00C01256">
        <w:rPr>
          <w:i w:val="0"/>
          <w:iCs w:val="0"/>
        </w:rPr>
        <w:t xml:space="preserve">Figure </w:t>
      </w:r>
      <w:r w:rsidRPr="00C01256">
        <w:rPr>
          <w:i w:val="0"/>
          <w:iCs w:val="0"/>
        </w:rPr>
        <w:fldChar w:fldCharType="begin"/>
      </w:r>
      <w:r w:rsidRPr="00C01256">
        <w:rPr>
          <w:i w:val="0"/>
          <w:iCs w:val="0"/>
        </w:rPr>
        <w:instrText xml:space="preserve"> SEQ Figure </w:instrText>
      </w:r>
      <w:r w:rsidRPr="00C01256">
        <w:rPr>
          <w:i w:val="0"/>
          <w:iCs w:val="0"/>
        </w:rPr>
        <w:fldChar w:fldCharType="separate"/>
      </w:r>
      <w:r w:rsidR="007F66EC">
        <w:rPr>
          <w:i w:val="0"/>
          <w:iCs w:val="0"/>
          <w:noProof/>
        </w:rPr>
        <w:t>4</w:t>
      </w:r>
      <w:r w:rsidRPr="00C01256">
        <w:rPr>
          <w:i w:val="0"/>
          <w:iCs w:val="0"/>
          <w:noProof/>
        </w:rPr>
        <w:fldChar w:fldCharType="end"/>
      </w:r>
      <w:r w:rsidRPr="00C01256">
        <w:rPr>
          <w:i w:val="0"/>
          <w:iCs w:val="0"/>
        </w:rPr>
        <w:tab/>
      </w:r>
      <w:bookmarkEnd w:id="56"/>
      <w:r w:rsidRPr="00C01256">
        <w:rPr>
          <w:i w:val="0"/>
          <w:iCs w:val="0"/>
        </w:rPr>
        <w:t xml:space="preserve">Zone </w:t>
      </w:r>
      <w:r>
        <w:rPr>
          <w:i w:val="0"/>
          <w:iCs w:val="0"/>
        </w:rPr>
        <w:t>Map</w:t>
      </w:r>
      <w:bookmarkEnd w:id="57"/>
    </w:p>
    <w:p w14:paraId="19C1BCD6" w14:textId="77777777" w:rsidR="00F25124" w:rsidRDefault="00F25124" w:rsidP="00F25124">
      <w:pPr>
        <w:pStyle w:val="SourceNotes"/>
        <w:rPr>
          <w:i/>
          <w:iCs/>
        </w:rPr>
      </w:pPr>
      <w:r w:rsidRPr="00C01256">
        <w:rPr>
          <w:i/>
          <w:iCs/>
        </w:rPr>
        <w:t>Source: Ethos Urban &amp; VicPlan</w:t>
      </w:r>
    </w:p>
    <w:p w14:paraId="387619C3" w14:textId="77777777" w:rsidR="00F25124" w:rsidRDefault="00F25124" w:rsidP="00F25124">
      <w:pPr>
        <w:pStyle w:val="SourceNotes"/>
        <w:rPr>
          <w:i/>
          <w:iCs/>
        </w:rPr>
      </w:pPr>
    </w:p>
    <w:p w14:paraId="25C71446" w14:textId="2C705B52" w:rsidR="00F25124" w:rsidRDefault="00F25124" w:rsidP="00833745">
      <w:pPr>
        <w:spacing w:before="120" w:line="280" w:lineRule="atLeast"/>
        <w:jc w:val="both"/>
        <w:rPr>
          <w:sz w:val="20"/>
          <w:szCs w:val="28"/>
        </w:rPr>
      </w:pPr>
      <w:r w:rsidRPr="00595E2F">
        <w:rPr>
          <w:sz w:val="20"/>
          <w:szCs w:val="28"/>
        </w:rPr>
        <w:t xml:space="preserve">Clause 32.08-2 </w:t>
      </w:r>
      <w:r w:rsidR="00622B8A">
        <w:rPr>
          <w:sz w:val="20"/>
          <w:szCs w:val="28"/>
        </w:rPr>
        <w:t>includes</w:t>
      </w:r>
      <w:r w:rsidRPr="00595E2F">
        <w:rPr>
          <w:sz w:val="20"/>
          <w:szCs w:val="28"/>
        </w:rPr>
        <w:t xml:space="preserve"> the Table of uses</w:t>
      </w:r>
      <w:r w:rsidR="00622B8A">
        <w:rPr>
          <w:sz w:val="20"/>
          <w:szCs w:val="28"/>
        </w:rPr>
        <w:t xml:space="preserve"> which identifies uses as Section 1 (permit not required), Section 2 (permit required) and Section 3 (prohibited).</w:t>
      </w:r>
    </w:p>
    <w:p w14:paraId="4AA41FFD" w14:textId="2A4E5D70" w:rsidR="00622B8A" w:rsidRPr="00622B8A" w:rsidRDefault="00622B8A" w:rsidP="00622B8A">
      <w:pPr>
        <w:pStyle w:val="Heading4"/>
        <w:rPr>
          <w:sz w:val="20"/>
          <w:szCs w:val="28"/>
        </w:rPr>
      </w:pPr>
      <w:r w:rsidRPr="00622B8A">
        <w:rPr>
          <w:sz w:val="20"/>
          <w:szCs w:val="28"/>
        </w:rPr>
        <w:t>Section 1 Uses (Permit not required)</w:t>
      </w:r>
    </w:p>
    <w:p w14:paraId="356AFBE5" w14:textId="13592533" w:rsidR="00622B8A" w:rsidRPr="00833745" w:rsidRDefault="00622B8A" w:rsidP="00833745">
      <w:pPr>
        <w:pStyle w:val="ESNumberedBullet1"/>
        <w:spacing w:before="120" w:line="280" w:lineRule="atLeast"/>
        <w:rPr>
          <w:sz w:val="20"/>
          <w:szCs w:val="28"/>
        </w:rPr>
      </w:pPr>
      <w:r w:rsidRPr="00833745">
        <w:rPr>
          <w:sz w:val="20"/>
          <w:szCs w:val="28"/>
        </w:rPr>
        <w:t>Bed and breakfast (accommodation for no more than 10 people)</w:t>
      </w:r>
    </w:p>
    <w:p w14:paraId="1F90C994" w14:textId="109203EB" w:rsidR="00622B8A" w:rsidRPr="00833745" w:rsidRDefault="00622B8A" w:rsidP="00833745">
      <w:pPr>
        <w:pStyle w:val="ESNumberedBullet1"/>
        <w:spacing w:before="120" w:line="280" w:lineRule="atLeast"/>
        <w:rPr>
          <w:sz w:val="20"/>
          <w:szCs w:val="28"/>
        </w:rPr>
      </w:pPr>
      <w:r w:rsidRPr="00833745">
        <w:rPr>
          <w:sz w:val="20"/>
          <w:szCs w:val="28"/>
        </w:rPr>
        <w:t>Dependent person’s unit (must be the only dependent person’s unit)</w:t>
      </w:r>
    </w:p>
    <w:p w14:paraId="38301C4B" w14:textId="28BA4A21" w:rsidR="00622B8A" w:rsidRPr="00833745" w:rsidRDefault="00622B8A" w:rsidP="00833745">
      <w:pPr>
        <w:pStyle w:val="ESNumberedBullet1"/>
        <w:spacing w:before="120" w:line="280" w:lineRule="atLeast"/>
        <w:rPr>
          <w:sz w:val="20"/>
          <w:szCs w:val="28"/>
        </w:rPr>
      </w:pPr>
      <w:r w:rsidRPr="00833745">
        <w:rPr>
          <w:sz w:val="20"/>
          <w:szCs w:val="28"/>
        </w:rPr>
        <w:t>Community care accommodation</w:t>
      </w:r>
    </w:p>
    <w:p w14:paraId="13D7236E" w14:textId="3F770156" w:rsidR="00622B8A" w:rsidRPr="00833745" w:rsidRDefault="00622B8A" w:rsidP="00833745">
      <w:pPr>
        <w:pStyle w:val="ESNumberedBullet1"/>
        <w:spacing w:before="120" w:line="280" w:lineRule="atLeast"/>
        <w:rPr>
          <w:sz w:val="20"/>
          <w:szCs w:val="28"/>
        </w:rPr>
      </w:pPr>
      <w:r w:rsidRPr="00833745">
        <w:rPr>
          <w:sz w:val="20"/>
          <w:szCs w:val="28"/>
        </w:rPr>
        <w:t>Dwelling</w:t>
      </w:r>
    </w:p>
    <w:p w14:paraId="07315E1C" w14:textId="0BF400A3" w:rsidR="00622B8A" w:rsidRPr="00833745" w:rsidRDefault="00622B8A" w:rsidP="00833745">
      <w:pPr>
        <w:pStyle w:val="ESNumberedBullet1"/>
        <w:spacing w:before="120" w:line="280" w:lineRule="atLeast"/>
        <w:rPr>
          <w:sz w:val="20"/>
          <w:szCs w:val="28"/>
        </w:rPr>
      </w:pPr>
      <w:r w:rsidRPr="00833745">
        <w:rPr>
          <w:sz w:val="20"/>
          <w:szCs w:val="28"/>
        </w:rPr>
        <w:t>Home based business</w:t>
      </w:r>
    </w:p>
    <w:p w14:paraId="24F445E7" w14:textId="4A2A80F7" w:rsidR="00622B8A" w:rsidRPr="00833745" w:rsidRDefault="00622B8A" w:rsidP="00833745">
      <w:pPr>
        <w:pStyle w:val="ESNumberedBullet1"/>
        <w:spacing w:before="120" w:line="280" w:lineRule="atLeast"/>
        <w:rPr>
          <w:sz w:val="20"/>
          <w:szCs w:val="28"/>
        </w:rPr>
      </w:pPr>
      <w:r w:rsidRPr="00833745">
        <w:rPr>
          <w:sz w:val="20"/>
          <w:szCs w:val="28"/>
        </w:rPr>
        <w:t>Informal outdoor recreation</w:t>
      </w:r>
    </w:p>
    <w:p w14:paraId="0F7BDA6A" w14:textId="1D76D300" w:rsidR="00622B8A" w:rsidRPr="00833745" w:rsidRDefault="00622B8A" w:rsidP="00833745">
      <w:pPr>
        <w:pStyle w:val="ESNumberedBullet1"/>
        <w:spacing w:before="120" w:line="280" w:lineRule="atLeast"/>
        <w:rPr>
          <w:sz w:val="20"/>
          <w:szCs w:val="28"/>
        </w:rPr>
      </w:pPr>
      <w:r w:rsidRPr="00833745">
        <w:rPr>
          <w:sz w:val="20"/>
          <w:szCs w:val="28"/>
        </w:rPr>
        <w:t>Medical Centre (The gross floor area of all buildings must not exceed 250m2)</w:t>
      </w:r>
    </w:p>
    <w:p w14:paraId="5B30948C" w14:textId="71BFA68F" w:rsidR="00622B8A" w:rsidRPr="00833745" w:rsidRDefault="00622B8A" w:rsidP="00833745">
      <w:pPr>
        <w:pStyle w:val="ESNumberedBullet1"/>
        <w:spacing w:before="120" w:line="280" w:lineRule="atLeast"/>
        <w:rPr>
          <w:sz w:val="20"/>
          <w:szCs w:val="28"/>
        </w:rPr>
      </w:pPr>
      <w:r w:rsidRPr="00833745">
        <w:rPr>
          <w:sz w:val="20"/>
          <w:szCs w:val="28"/>
        </w:rPr>
        <w:lastRenderedPageBreak/>
        <w:t>Place of worship (The gross floor area of all buildings must not exceed 250m2)</w:t>
      </w:r>
    </w:p>
    <w:p w14:paraId="4D0F275C" w14:textId="653915AB" w:rsidR="00622B8A" w:rsidRPr="00833745" w:rsidRDefault="00622B8A" w:rsidP="00833745">
      <w:pPr>
        <w:pStyle w:val="ESNumberedBullet1"/>
        <w:spacing w:before="120" w:line="280" w:lineRule="atLeast"/>
        <w:rPr>
          <w:sz w:val="20"/>
          <w:szCs w:val="28"/>
        </w:rPr>
      </w:pPr>
      <w:r w:rsidRPr="00833745">
        <w:rPr>
          <w:sz w:val="20"/>
          <w:szCs w:val="28"/>
        </w:rPr>
        <w:t>Racing dog husbandry</w:t>
      </w:r>
    </w:p>
    <w:p w14:paraId="79D5859E" w14:textId="2C5864CE" w:rsidR="00622B8A" w:rsidRPr="00833745" w:rsidRDefault="00622B8A" w:rsidP="00833745">
      <w:pPr>
        <w:pStyle w:val="ESNumberedBullet1"/>
        <w:spacing w:before="120" w:line="280" w:lineRule="atLeast"/>
        <w:rPr>
          <w:sz w:val="20"/>
          <w:szCs w:val="28"/>
        </w:rPr>
      </w:pPr>
      <w:r w:rsidRPr="00833745">
        <w:rPr>
          <w:sz w:val="20"/>
          <w:szCs w:val="28"/>
        </w:rPr>
        <w:t>Residential aged care facility</w:t>
      </w:r>
    </w:p>
    <w:p w14:paraId="77F51553" w14:textId="10401AE0" w:rsidR="00622B8A" w:rsidRPr="00833745" w:rsidRDefault="00622B8A" w:rsidP="00833745">
      <w:pPr>
        <w:pStyle w:val="ESNumberedBullet1"/>
        <w:spacing w:before="120" w:line="280" w:lineRule="atLeast"/>
        <w:rPr>
          <w:sz w:val="20"/>
          <w:szCs w:val="28"/>
        </w:rPr>
      </w:pPr>
      <w:r w:rsidRPr="00833745">
        <w:rPr>
          <w:sz w:val="20"/>
          <w:szCs w:val="28"/>
        </w:rPr>
        <w:t>Rooming house</w:t>
      </w:r>
    </w:p>
    <w:p w14:paraId="5441BA1B" w14:textId="788D838F" w:rsidR="00622B8A" w:rsidRPr="00833745" w:rsidRDefault="00622B8A" w:rsidP="00833745">
      <w:pPr>
        <w:pStyle w:val="ESNumberedBullet1"/>
        <w:spacing w:before="120" w:line="280" w:lineRule="atLeast"/>
        <w:rPr>
          <w:sz w:val="20"/>
          <w:szCs w:val="28"/>
        </w:rPr>
      </w:pPr>
      <w:r w:rsidRPr="00833745">
        <w:rPr>
          <w:sz w:val="20"/>
          <w:szCs w:val="28"/>
        </w:rPr>
        <w:t>Tramway</w:t>
      </w:r>
    </w:p>
    <w:p w14:paraId="32EE6345" w14:textId="562EA81B" w:rsidR="00622B8A" w:rsidRPr="00622B8A" w:rsidRDefault="00622B8A" w:rsidP="00622B8A">
      <w:pPr>
        <w:pStyle w:val="Heading4"/>
        <w:rPr>
          <w:sz w:val="20"/>
          <w:szCs w:val="28"/>
        </w:rPr>
      </w:pPr>
      <w:r w:rsidRPr="00622B8A">
        <w:rPr>
          <w:sz w:val="20"/>
          <w:szCs w:val="28"/>
        </w:rPr>
        <w:t>Section 2 uses (Permit required)</w:t>
      </w:r>
    </w:p>
    <w:p w14:paraId="71FDA053" w14:textId="5AE2F4C8" w:rsidR="00622B8A" w:rsidRPr="00622B8A" w:rsidRDefault="00622B8A" w:rsidP="00833745">
      <w:pPr>
        <w:pStyle w:val="ESNumberedBullet1"/>
        <w:spacing w:before="120" w:line="280" w:lineRule="atLeast"/>
        <w:rPr>
          <w:sz w:val="20"/>
          <w:szCs w:val="28"/>
        </w:rPr>
      </w:pPr>
      <w:r w:rsidRPr="00622B8A">
        <w:rPr>
          <w:sz w:val="20"/>
          <w:szCs w:val="28"/>
        </w:rPr>
        <w:t>Accommodation</w:t>
      </w:r>
    </w:p>
    <w:p w14:paraId="7171FD3E" w14:textId="3D0D1DD9" w:rsidR="00622B8A" w:rsidRPr="00622B8A" w:rsidRDefault="00622B8A" w:rsidP="00833745">
      <w:pPr>
        <w:pStyle w:val="ESNumberedBullet1"/>
        <w:spacing w:before="120" w:line="280" w:lineRule="atLeast"/>
        <w:rPr>
          <w:sz w:val="20"/>
          <w:szCs w:val="28"/>
        </w:rPr>
      </w:pPr>
      <w:r w:rsidRPr="00622B8A">
        <w:rPr>
          <w:sz w:val="20"/>
          <w:szCs w:val="28"/>
        </w:rPr>
        <w:t>Agriculture</w:t>
      </w:r>
    </w:p>
    <w:p w14:paraId="68FCD6C2" w14:textId="46C7B51B" w:rsidR="00622B8A" w:rsidRPr="00622B8A" w:rsidRDefault="00622B8A" w:rsidP="00833745">
      <w:pPr>
        <w:pStyle w:val="ESNumberedBullet1"/>
        <w:spacing w:before="120" w:line="280" w:lineRule="atLeast"/>
        <w:rPr>
          <w:sz w:val="20"/>
          <w:szCs w:val="28"/>
        </w:rPr>
      </w:pPr>
      <w:r w:rsidRPr="00622B8A">
        <w:rPr>
          <w:sz w:val="20"/>
          <w:szCs w:val="28"/>
        </w:rPr>
        <w:t>Car park</w:t>
      </w:r>
    </w:p>
    <w:p w14:paraId="4871A3C4" w14:textId="4AA47A9B" w:rsidR="00622B8A" w:rsidRPr="00622B8A" w:rsidRDefault="00622B8A" w:rsidP="00833745">
      <w:pPr>
        <w:pStyle w:val="ESNumberedBullet1"/>
        <w:spacing w:before="120" w:line="280" w:lineRule="atLeast"/>
        <w:rPr>
          <w:sz w:val="20"/>
          <w:szCs w:val="28"/>
        </w:rPr>
      </w:pPr>
      <w:r w:rsidRPr="00622B8A">
        <w:rPr>
          <w:sz w:val="20"/>
          <w:szCs w:val="28"/>
        </w:rPr>
        <w:t>Car wash</w:t>
      </w:r>
    </w:p>
    <w:p w14:paraId="0CAC9D00" w14:textId="550FBF2C" w:rsidR="00622B8A" w:rsidRPr="00622B8A" w:rsidRDefault="00622B8A" w:rsidP="00833745">
      <w:pPr>
        <w:pStyle w:val="ESNumberedBullet1"/>
        <w:spacing w:before="120" w:line="280" w:lineRule="atLeast"/>
        <w:rPr>
          <w:sz w:val="20"/>
          <w:szCs w:val="28"/>
        </w:rPr>
      </w:pPr>
      <w:r w:rsidRPr="00622B8A">
        <w:rPr>
          <w:sz w:val="20"/>
          <w:szCs w:val="28"/>
        </w:rPr>
        <w:t>Convenience restaurant</w:t>
      </w:r>
    </w:p>
    <w:p w14:paraId="49F2E579" w14:textId="11E08D96" w:rsidR="00622B8A" w:rsidRPr="00622B8A" w:rsidRDefault="00622B8A" w:rsidP="00833745">
      <w:pPr>
        <w:pStyle w:val="ESNumberedBullet1"/>
        <w:spacing w:before="120" w:line="280" w:lineRule="atLeast"/>
        <w:rPr>
          <w:sz w:val="20"/>
          <w:szCs w:val="28"/>
        </w:rPr>
      </w:pPr>
      <w:r w:rsidRPr="00622B8A">
        <w:rPr>
          <w:sz w:val="20"/>
          <w:szCs w:val="28"/>
        </w:rPr>
        <w:t>Convenience shop</w:t>
      </w:r>
    </w:p>
    <w:p w14:paraId="26A2F741" w14:textId="54F43B60" w:rsidR="00622B8A" w:rsidRPr="00622B8A" w:rsidRDefault="00622B8A" w:rsidP="00833745">
      <w:pPr>
        <w:pStyle w:val="ESNumberedBullet1"/>
        <w:spacing w:before="120" w:line="280" w:lineRule="atLeast"/>
        <w:rPr>
          <w:sz w:val="20"/>
          <w:szCs w:val="28"/>
        </w:rPr>
      </w:pPr>
      <w:r w:rsidRPr="00622B8A">
        <w:rPr>
          <w:sz w:val="20"/>
          <w:szCs w:val="28"/>
        </w:rPr>
        <w:t>Food and drink premises</w:t>
      </w:r>
    </w:p>
    <w:p w14:paraId="53E8FB36" w14:textId="2BFA2601" w:rsidR="00622B8A" w:rsidRPr="00622B8A" w:rsidRDefault="00622B8A" w:rsidP="00833745">
      <w:pPr>
        <w:pStyle w:val="ESNumberedBullet1"/>
        <w:spacing w:before="120" w:line="280" w:lineRule="atLeast"/>
        <w:rPr>
          <w:sz w:val="20"/>
          <w:szCs w:val="28"/>
        </w:rPr>
      </w:pPr>
      <w:r w:rsidRPr="00622B8A">
        <w:rPr>
          <w:sz w:val="20"/>
          <w:szCs w:val="28"/>
        </w:rPr>
        <w:t>Leisure and recreation (other than informal outdoor recreation and Motor racing track)</w:t>
      </w:r>
    </w:p>
    <w:p w14:paraId="75D74465" w14:textId="5E67CF1A" w:rsidR="00622B8A" w:rsidRPr="00622B8A" w:rsidRDefault="00622B8A" w:rsidP="00833745">
      <w:pPr>
        <w:pStyle w:val="ESNumberedBullet1"/>
        <w:spacing w:before="120" w:line="280" w:lineRule="atLeast"/>
        <w:rPr>
          <w:sz w:val="20"/>
          <w:szCs w:val="28"/>
        </w:rPr>
      </w:pPr>
      <w:r w:rsidRPr="00622B8A">
        <w:rPr>
          <w:sz w:val="20"/>
          <w:szCs w:val="28"/>
        </w:rPr>
        <w:t>Market</w:t>
      </w:r>
    </w:p>
    <w:p w14:paraId="5709BC1B" w14:textId="2B824774" w:rsidR="00622B8A" w:rsidRPr="00622B8A" w:rsidRDefault="00622B8A" w:rsidP="00833745">
      <w:pPr>
        <w:pStyle w:val="ESNumberedBullet1"/>
        <w:spacing w:before="120" w:line="280" w:lineRule="atLeast"/>
        <w:rPr>
          <w:sz w:val="20"/>
          <w:szCs w:val="28"/>
        </w:rPr>
      </w:pPr>
      <w:r w:rsidRPr="00622B8A">
        <w:rPr>
          <w:sz w:val="20"/>
          <w:szCs w:val="28"/>
        </w:rPr>
        <w:t>Place of assembly</w:t>
      </w:r>
    </w:p>
    <w:p w14:paraId="726BE175" w14:textId="2FB52E68" w:rsidR="00622B8A" w:rsidRPr="00622B8A" w:rsidRDefault="00622B8A" w:rsidP="00833745">
      <w:pPr>
        <w:pStyle w:val="ESNumberedBullet1"/>
        <w:spacing w:before="120" w:line="280" w:lineRule="atLeast"/>
        <w:rPr>
          <w:sz w:val="20"/>
          <w:szCs w:val="28"/>
        </w:rPr>
      </w:pPr>
      <w:r w:rsidRPr="00622B8A">
        <w:rPr>
          <w:sz w:val="20"/>
          <w:szCs w:val="28"/>
        </w:rPr>
        <w:t>Service station</w:t>
      </w:r>
    </w:p>
    <w:p w14:paraId="02756BCE" w14:textId="09FD76F7" w:rsidR="00622B8A" w:rsidRPr="00622B8A" w:rsidRDefault="00622B8A" w:rsidP="00833745">
      <w:pPr>
        <w:pStyle w:val="ESNumberedBullet1"/>
        <w:spacing w:before="120" w:line="280" w:lineRule="atLeast"/>
        <w:rPr>
          <w:sz w:val="20"/>
          <w:szCs w:val="28"/>
        </w:rPr>
      </w:pPr>
      <w:r w:rsidRPr="00622B8A">
        <w:rPr>
          <w:sz w:val="20"/>
          <w:szCs w:val="28"/>
        </w:rPr>
        <w:t>Store</w:t>
      </w:r>
    </w:p>
    <w:p w14:paraId="1193BEC0" w14:textId="6C098644" w:rsidR="00622B8A" w:rsidRPr="00622B8A" w:rsidRDefault="00622B8A" w:rsidP="00833745">
      <w:pPr>
        <w:pStyle w:val="ESNumberedBullet1"/>
        <w:spacing w:before="120" w:line="280" w:lineRule="atLeast"/>
        <w:rPr>
          <w:sz w:val="20"/>
          <w:szCs w:val="28"/>
        </w:rPr>
      </w:pPr>
      <w:r w:rsidRPr="00622B8A">
        <w:rPr>
          <w:sz w:val="20"/>
          <w:szCs w:val="28"/>
        </w:rPr>
        <w:t>Take away food premises</w:t>
      </w:r>
    </w:p>
    <w:p w14:paraId="562FC7C7" w14:textId="4AC9B09C" w:rsidR="00622B8A" w:rsidRPr="00622B8A" w:rsidRDefault="00622B8A" w:rsidP="00622B8A">
      <w:pPr>
        <w:pStyle w:val="Heading4"/>
        <w:rPr>
          <w:sz w:val="20"/>
          <w:szCs w:val="28"/>
        </w:rPr>
      </w:pPr>
      <w:r w:rsidRPr="00622B8A">
        <w:rPr>
          <w:sz w:val="20"/>
          <w:szCs w:val="28"/>
        </w:rPr>
        <w:t>Section 3 uses (Prohibited)</w:t>
      </w:r>
    </w:p>
    <w:p w14:paraId="38582523" w14:textId="72E0236D" w:rsidR="00622B8A" w:rsidRPr="00622B8A" w:rsidRDefault="00622B8A" w:rsidP="00833745">
      <w:pPr>
        <w:pStyle w:val="ESNumberedBullet1"/>
        <w:spacing w:before="120" w:line="280" w:lineRule="atLeast"/>
        <w:rPr>
          <w:sz w:val="20"/>
          <w:szCs w:val="28"/>
        </w:rPr>
      </w:pPr>
      <w:r w:rsidRPr="00622B8A">
        <w:rPr>
          <w:sz w:val="20"/>
          <w:szCs w:val="28"/>
        </w:rPr>
        <w:t>Amusement parlour</w:t>
      </w:r>
    </w:p>
    <w:p w14:paraId="082387C3" w14:textId="561BEBA0" w:rsidR="00622B8A" w:rsidRPr="00622B8A" w:rsidRDefault="00622B8A" w:rsidP="00833745">
      <w:pPr>
        <w:pStyle w:val="ESNumberedBullet1"/>
        <w:spacing w:before="120" w:line="280" w:lineRule="atLeast"/>
        <w:rPr>
          <w:sz w:val="20"/>
          <w:szCs w:val="28"/>
        </w:rPr>
      </w:pPr>
      <w:r w:rsidRPr="00622B8A">
        <w:rPr>
          <w:sz w:val="20"/>
          <w:szCs w:val="28"/>
        </w:rPr>
        <w:t>Animal production</w:t>
      </w:r>
    </w:p>
    <w:p w14:paraId="2A9CA1AA" w14:textId="55F2C6EE" w:rsidR="00622B8A" w:rsidRPr="00622B8A" w:rsidRDefault="00622B8A" w:rsidP="00833745">
      <w:pPr>
        <w:pStyle w:val="ESNumberedBullet1"/>
        <w:spacing w:before="120" w:line="280" w:lineRule="atLeast"/>
        <w:rPr>
          <w:sz w:val="20"/>
          <w:szCs w:val="28"/>
        </w:rPr>
      </w:pPr>
      <w:r w:rsidRPr="00622B8A">
        <w:rPr>
          <w:sz w:val="20"/>
          <w:szCs w:val="28"/>
        </w:rPr>
        <w:t>Animal training</w:t>
      </w:r>
    </w:p>
    <w:p w14:paraId="65CDB7B7" w14:textId="200DE344" w:rsidR="00622B8A" w:rsidRPr="00622B8A" w:rsidRDefault="00622B8A" w:rsidP="00833745">
      <w:pPr>
        <w:pStyle w:val="ESNumberedBullet1"/>
        <w:spacing w:before="120" w:line="280" w:lineRule="atLeast"/>
        <w:rPr>
          <w:sz w:val="20"/>
          <w:szCs w:val="28"/>
        </w:rPr>
      </w:pPr>
      <w:r w:rsidRPr="00622B8A">
        <w:rPr>
          <w:sz w:val="20"/>
          <w:szCs w:val="28"/>
        </w:rPr>
        <w:t>Brothel</w:t>
      </w:r>
    </w:p>
    <w:p w14:paraId="16A3190D" w14:textId="12343ACD" w:rsidR="00622B8A" w:rsidRPr="00622B8A" w:rsidRDefault="00622B8A" w:rsidP="00833745">
      <w:pPr>
        <w:pStyle w:val="ESNumberedBullet1"/>
        <w:spacing w:before="120" w:line="280" w:lineRule="atLeast"/>
        <w:rPr>
          <w:sz w:val="20"/>
          <w:szCs w:val="28"/>
        </w:rPr>
      </w:pPr>
      <w:r w:rsidRPr="00622B8A">
        <w:rPr>
          <w:sz w:val="20"/>
          <w:szCs w:val="28"/>
        </w:rPr>
        <w:t>Cinema based entertainment facility</w:t>
      </w:r>
    </w:p>
    <w:p w14:paraId="43166D89" w14:textId="4E74EA20" w:rsidR="00622B8A" w:rsidRPr="00622B8A" w:rsidRDefault="00622B8A" w:rsidP="00833745">
      <w:pPr>
        <w:pStyle w:val="ESNumberedBullet1"/>
        <w:spacing w:before="120" w:line="280" w:lineRule="atLeast"/>
        <w:rPr>
          <w:sz w:val="20"/>
          <w:szCs w:val="28"/>
        </w:rPr>
      </w:pPr>
      <w:r w:rsidRPr="00622B8A">
        <w:rPr>
          <w:sz w:val="20"/>
          <w:szCs w:val="28"/>
        </w:rPr>
        <w:t>Domestic animal boarding</w:t>
      </w:r>
    </w:p>
    <w:p w14:paraId="101F71E7" w14:textId="21616FB4" w:rsidR="00622B8A" w:rsidRPr="00622B8A" w:rsidRDefault="00622B8A" w:rsidP="00833745">
      <w:pPr>
        <w:pStyle w:val="ESNumberedBullet1"/>
        <w:spacing w:before="120" w:line="280" w:lineRule="atLeast"/>
        <w:rPr>
          <w:sz w:val="20"/>
          <w:szCs w:val="28"/>
        </w:rPr>
      </w:pPr>
      <w:r w:rsidRPr="00622B8A">
        <w:rPr>
          <w:sz w:val="20"/>
          <w:szCs w:val="28"/>
        </w:rPr>
        <w:t>Extractive industry</w:t>
      </w:r>
    </w:p>
    <w:p w14:paraId="67BEE3E5" w14:textId="2139B3CB" w:rsidR="00622B8A" w:rsidRPr="00622B8A" w:rsidRDefault="00622B8A" w:rsidP="00833745">
      <w:pPr>
        <w:pStyle w:val="ESNumberedBullet1"/>
        <w:spacing w:before="120" w:line="280" w:lineRule="atLeast"/>
        <w:rPr>
          <w:sz w:val="20"/>
          <w:szCs w:val="28"/>
        </w:rPr>
      </w:pPr>
      <w:r w:rsidRPr="00622B8A">
        <w:rPr>
          <w:sz w:val="20"/>
          <w:szCs w:val="28"/>
        </w:rPr>
        <w:t>Horse husbandry</w:t>
      </w:r>
    </w:p>
    <w:p w14:paraId="5929E465" w14:textId="372BD0AE" w:rsidR="00622B8A" w:rsidRPr="00622B8A" w:rsidRDefault="00622B8A" w:rsidP="00833745">
      <w:pPr>
        <w:pStyle w:val="ESNumberedBullet1"/>
        <w:spacing w:before="120" w:line="280" w:lineRule="atLeast"/>
        <w:rPr>
          <w:sz w:val="20"/>
          <w:szCs w:val="28"/>
        </w:rPr>
      </w:pPr>
      <w:r w:rsidRPr="00622B8A">
        <w:rPr>
          <w:sz w:val="20"/>
          <w:szCs w:val="28"/>
        </w:rPr>
        <w:t>Industry (other than Car wash)</w:t>
      </w:r>
    </w:p>
    <w:p w14:paraId="734C68CC" w14:textId="555D45C8" w:rsidR="00622B8A" w:rsidRPr="00622B8A" w:rsidRDefault="00622B8A" w:rsidP="00833745">
      <w:pPr>
        <w:pStyle w:val="ESNumberedBullet1"/>
        <w:spacing w:before="120" w:line="280" w:lineRule="atLeast"/>
        <w:rPr>
          <w:sz w:val="20"/>
          <w:szCs w:val="28"/>
        </w:rPr>
      </w:pPr>
      <w:r w:rsidRPr="00622B8A">
        <w:rPr>
          <w:sz w:val="20"/>
          <w:szCs w:val="28"/>
        </w:rPr>
        <w:t>Motor racing track</w:t>
      </w:r>
    </w:p>
    <w:p w14:paraId="2EA88C13" w14:textId="131272A5" w:rsidR="00622B8A" w:rsidRPr="00622B8A" w:rsidRDefault="00622B8A" w:rsidP="00833745">
      <w:pPr>
        <w:pStyle w:val="ESNumberedBullet1"/>
        <w:spacing w:before="120" w:line="280" w:lineRule="atLeast"/>
        <w:rPr>
          <w:sz w:val="20"/>
          <w:szCs w:val="28"/>
        </w:rPr>
      </w:pPr>
      <w:r w:rsidRPr="00622B8A">
        <w:rPr>
          <w:sz w:val="20"/>
          <w:szCs w:val="28"/>
        </w:rPr>
        <w:t>Nightclub</w:t>
      </w:r>
    </w:p>
    <w:p w14:paraId="5BB5A0FD" w14:textId="61EDDEF4" w:rsidR="00622B8A" w:rsidRPr="00833745" w:rsidRDefault="00622B8A" w:rsidP="00833745">
      <w:pPr>
        <w:pStyle w:val="ESNumberedBullet1"/>
        <w:spacing w:before="120" w:line="280" w:lineRule="atLeast"/>
        <w:rPr>
          <w:b/>
          <w:bCs/>
          <w:sz w:val="20"/>
          <w:szCs w:val="28"/>
        </w:rPr>
      </w:pPr>
      <w:r w:rsidRPr="00833745">
        <w:rPr>
          <w:b/>
          <w:bCs/>
          <w:sz w:val="20"/>
          <w:szCs w:val="28"/>
        </w:rPr>
        <w:t>Office (other than Medical centre)</w:t>
      </w:r>
    </w:p>
    <w:p w14:paraId="1B115D95" w14:textId="043FD627" w:rsidR="00622B8A" w:rsidRPr="00622B8A" w:rsidRDefault="00622B8A" w:rsidP="00833745">
      <w:pPr>
        <w:pStyle w:val="ESNumberedBullet1"/>
        <w:spacing w:before="120" w:line="280" w:lineRule="atLeast"/>
        <w:rPr>
          <w:sz w:val="20"/>
          <w:szCs w:val="28"/>
        </w:rPr>
      </w:pPr>
      <w:r w:rsidRPr="00622B8A">
        <w:rPr>
          <w:sz w:val="20"/>
          <w:szCs w:val="28"/>
        </w:rPr>
        <w:t>Retail premises (other than Convenience shop, Food and drink premises, Market, and Plant nursery)</w:t>
      </w:r>
    </w:p>
    <w:p w14:paraId="3B8B3FA7" w14:textId="6815C2AE" w:rsidR="00622B8A" w:rsidRPr="00622B8A" w:rsidRDefault="00622B8A" w:rsidP="00833745">
      <w:pPr>
        <w:pStyle w:val="ESNumberedBullet1"/>
        <w:spacing w:before="120" w:line="280" w:lineRule="atLeast"/>
        <w:rPr>
          <w:sz w:val="20"/>
          <w:szCs w:val="28"/>
        </w:rPr>
      </w:pPr>
      <w:r w:rsidRPr="00622B8A">
        <w:rPr>
          <w:sz w:val="20"/>
          <w:szCs w:val="28"/>
        </w:rPr>
        <w:t>Saleyard</w:t>
      </w:r>
    </w:p>
    <w:p w14:paraId="7D0C8C62" w14:textId="65727E51" w:rsidR="00622B8A" w:rsidRPr="00622B8A" w:rsidRDefault="00622B8A" w:rsidP="00833745">
      <w:pPr>
        <w:pStyle w:val="ESNumberedBullet1"/>
        <w:spacing w:before="120" w:line="280" w:lineRule="atLeast"/>
        <w:rPr>
          <w:sz w:val="20"/>
          <w:szCs w:val="28"/>
        </w:rPr>
      </w:pPr>
      <w:r w:rsidRPr="00622B8A">
        <w:rPr>
          <w:sz w:val="20"/>
          <w:szCs w:val="28"/>
        </w:rPr>
        <w:t>Transport terminal</w:t>
      </w:r>
    </w:p>
    <w:p w14:paraId="365D4AB5" w14:textId="3407D6E0" w:rsidR="00622B8A" w:rsidRPr="00622B8A" w:rsidRDefault="00622B8A" w:rsidP="00833745">
      <w:pPr>
        <w:pStyle w:val="ESNumberedBullet1"/>
        <w:spacing w:before="120" w:line="280" w:lineRule="atLeast"/>
        <w:rPr>
          <w:sz w:val="20"/>
          <w:szCs w:val="28"/>
        </w:rPr>
      </w:pPr>
      <w:r w:rsidRPr="00622B8A">
        <w:rPr>
          <w:sz w:val="20"/>
          <w:szCs w:val="28"/>
        </w:rPr>
        <w:lastRenderedPageBreak/>
        <w:t>Warehouse (other than Store)</w:t>
      </w:r>
    </w:p>
    <w:p w14:paraId="0BA91A1E" w14:textId="77777777" w:rsidR="00F25124" w:rsidRDefault="00F25124" w:rsidP="00F25124">
      <w:pPr>
        <w:pStyle w:val="Heading3"/>
      </w:pPr>
      <w:r>
        <w:t>Proposed Zone (Mixed Use Zone – Schedule 1)</w:t>
      </w:r>
    </w:p>
    <w:p w14:paraId="715BA439" w14:textId="0FFFA722" w:rsidR="00F25124" w:rsidRDefault="00F25124" w:rsidP="00833745">
      <w:pPr>
        <w:spacing w:before="120" w:line="280" w:lineRule="atLeast"/>
        <w:jc w:val="both"/>
        <w:rPr>
          <w:sz w:val="20"/>
          <w:szCs w:val="28"/>
        </w:rPr>
      </w:pPr>
      <w:r w:rsidRPr="00595E2F">
        <w:rPr>
          <w:sz w:val="20"/>
          <w:szCs w:val="28"/>
        </w:rPr>
        <w:t>Clause 33.04 sets out the Table of Uses for the MUZ, which</w:t>
      </w:r>
      <w:r w:rsidR="00622B8A">
        <w:rPr>
          <w:sz w:val="20"/>
          <w:szCs w:val="28"/>
        </w:rPr>
        <w:t xml:space="preserve"> identifies uses as Section 1 (permit not required), Section 2 (permit required) and Section 3 (prohibited).</w:t>
      </w:r>
    </w:p>
    <w:p w14:paraId="7D993FDD" w14:textId="62DCD000" w:rsidR="00622B8A" w:rsidRDefault="00622B8A" w:rsidP="00622B8A">
      <w:pPr>
        <w:pStyle w:val="Heading4"/>
        <w:rPr>
          <w:sz w:val="20"/>
          <w:szCs w:val="28"/>
        </w:rPr>
      </w:pPr>
      <w:r w:rsidRPr="00622B8A">
        <w:rPr>
          <w:sz w:val="20"/>
          <w:szCs w:val="28"/>
        </w:rPr>
        <w:t>Section 1 uses (Permit not required)</w:t>
      </w:r>
    </w:p>
    <w:p w14:paraId="63AE53EA" w14:textId="585BB200" w:rsidR="00622B8A" w:rsidRPr="00622B8A" w:rsidRDefault="00622B8A" w:rsidP="00833745">
      <w:pPr>
        <w:pStyle w:val="ESNumberedBullet1"/>
        <w:spacing w:before="120" w:line="280" w:lineRule="atLeast"/>
        <w:rPr>
          <w:sz w:val="20"/>
          <w:szCs w:val="28"/>
        </w:rPr>
      </w:pPr>
      <w:r w:rsidRPr="00622B8A">
        <w:rPr>
          <w:sz w:val="20"/>
          <w:szCs w:val="28"/>
        </w:rPr>
        <w:t>Informal outdoor recreation</w:t>
      </w:r>
    </w:p>
    <w:p w14:paraId="5556A7F6" w14:textId="67784ECD" w:rsidR="00622B8A" w:rsidRPr="00622B8A" w:rsidRDefault="00622B8A" w:rsidP="00833745">
      <w:pPr>
        <w:pStyle w:val="ESNumberedBullet1"/>
        <w:spacing w:before="120" w:line="280" w:lineRule="atLeast"/>
        <w:rPr>
          <w:sz w:val="20"/>
          <w:szCs w:val="28"/>
        </w:rPr>
      </w:pPr>
      <w:r w:rsidRPr="00622B8A">
        <w:rPr>
          <w:sz w:val="20"/>
          <w:szCs w:val="28"/>
        </w:rPr>
        <w:t>Medical centre - The gross floor area must not exceed 250 square metres</w:t>
      </w:r>
    </w:p>
    <w:p w14:paraId="17AF819E" w14:textId="430C56AD" w:rsidR="00622B8A" w:rsidRPr="00622B8A" w:rsidRDefault="00622B8A" w:rsidP="00833745">
      <w:pPr>
        <w:pStyle w:val="ESNumberedBullet1"/>
        <w:spacing w:before="120" w:line="280" w:lineRule="atLeast"/>
        <w:rPr>
          <w:sz w:val="20"/>
          <w:szCs w:val="28"/>
        </w:rPr>
      </w:pPr>
      <w:r w:rsidRPr="00622B8A">
        <w:rPr>
          <w:sz w:val="20"/>
          <w:szCs w:val="28"/>
        </w:rPr>
        <w:t>Museum</w:t>
      </w:r>
    </w:p>
    <w:p w14:paraId="33EBC7FE" w14:textId="0A63626E" w:rsidR="00622B8A" w:rsidRPr="00833745" w:rsidRDefault="00622B8A" w:rsidP="00833745">
      <w:pPr>
        <w:pStyle w:val="ESNumberedBullet1"/>
        <w:spacing w:before="120" w:line="280" w:lineRule="atLeast"/>
        <w:rPr>
          <w:b/>
          <w:bCs/>
          <w:sz w:val="20"/>
          <w:szCs w:val="28"/>
        </w:rPr>
      </w:pPr>
      <w:r w:rsidRPr="00833745">
        <w:rPr>
          <w:b/>
          <w:bCs/>
          <w:sz w:val="20"/>
          <w:szCs w:val="28"/>
        </w:rPr>
        <w:t>Office (other than Medical centre) - The leasable floor area must not exceed 250 square metres.</w:t>
      </w:r>
    </w:p>
    <w:p w14:paraId="474811AF" w14:textId="4AC261EA" w:rsidR="00622B8A" w:rsidRPr="00622B8A" w:rsidRDefault="00622B8A" w:rsidP="00833745">
      <w:pPr>
        <w:pStyle w:val="ESNumberedBullet1"/>
        <w:spacing w:before="120" w:line="280" w:lineRule="atLeast"/>
        <w:rPr>
          <w:sz w:val="20"/>
          <w:szCs w:val="28"/>
        </w:rPr>
      </w:pPr>
      <w:r w:rsidRPr="00622B8A">
        <w:rPr>
          <w:sz w:val="20"/>
          <w:szCs w:val="28"/>
        </w:rPr>
        <w:t>Place of worship - The gross floor area of all buildings must not exceed 250 square metres.</w:t>
      </w:r>
    </w:p>
    <w:p w14:paraId="311C1130" w14:textId="301CA76D" w:rsidR="00622B8A" w:rsidRPr="00622B8A" w:rsidRDefault="00622B8A" w:rsidP="00833745">
      <w:pPr>
        <w:pStyle w:val="ESNumberedBullet1"/>
        <w:spacing w:before="120" w:line="280" w:lineRule="atLeast"/>
        <w:rPr>
          <w:sz w:val="20"/>
          <w:szCs w:val="28"/>
        </w:rPr>
      </w:pPr>
      <w:r w:rsidRPr="00622B8A">
        <w:rPr>
          <w:sz w:val="20"/>
          <w:szCs w:val="28"/>
        </w:rPr>
        <w:t>Racing dog husbandry - Must be no more than 2 animals.</w:t>
      </w:r>
    </w:p>
    <w:p w14:paraId="5DFF4400" w14:textId="77777777" w:rsidR="00622B8A" w:rsidRPr="00622B8A" w:rsidRDefault="00622B8A" w:rsidP="00833745">
      <w:pPr>
        <w:pStyle w:val="ESNumberedBullet1"/>
        <w:spacing w:before="120" w:line="280" w:lineRule="atLeast"/>
        <w:rPr>
          <w:sz w:val="20"/>
          <w:szCs w:val="28"/>
        </w:rPr>
      </w:pPr>
      <w:r w:rsidRPr="00622B8A">
        <w:rPr>
          <w:sz w:val="20"/>
          <w:szCs w:val="28"/>
        </w:rPr>
        <w:t>Railway</w:t>
      </w:r>
    </w:p>
    <w:p w14:paraId="70509209" w14:textId="24E0A106" w:rsidR="00622B8A" w:rsidRPr="00622B8A" w:rsidRDefault="00622B8A" w:rsidP="00833745">
      <w:pPr>
        <w:pStyle w:val="ESNumberedBullet1"/>
        <w:spacing w:before="120" w:line="280" w:lineRule="atLeast"/>
        <w:rPr>
          <w:sz w:val="20"/>
          <w:szCs w:val="28"/>
        </w:rPr>
      </w:pPr>
      <w:r w:rsidRPr="00622B8A">
        <w:rPr>
          <w:sz w:val="20"/>
          <w:szCs w:val="28"/>
        </w:rPr>
        <w:t>Residential aged care facility</w:t>
      </w:r>
    </w:p>
    <w:p w14:paraId="164E155C" w14:textId="177AF2C0" w:rsidR="00622B8A" w:rsidRPr="00622B8A" w:rsidRDefault="00622B8A" w:rsidP="00833745">
      <w:pPr>
        <w:pStyle w:val="ESNumberedBullet1"/>
        <w:spacing w:before="120" w:line="280" w:lineRule="atLeast"/>
        <w:rPr>
          <w:sz w:val="20"/>
          <w:szCs w:val="28"/>
        </w:rPr>
      </w:pPr>
      <w:r w:rsidRPr="00622B8A">
        <w:rPr>
          <w:sz w:val="20"/>
          <w:szCs w:val="28"/>
        </w:rPr>
        <w:t>Rooming house - Must meet the requirements of Clause 52.23-2.</w:t>
      </w:r>
    </w:p>
    <w:p w14:paraId="61053ABC" w14:textId="6C9ACEB7" w:rsidR="00622B8A" w:rsidRPr="00622B8A" w:rsidRDefault="00622B8A" w:rsidP="00833745">
      <w:pPr>
        <w:pStyle w:val="ESNumberedBullet1"/>
        <w:spacing w:before="120" w:line="280" w:lineRule="atLeast"/>
        <w:rPr>
          <w:sz w:val="20"/>
          <w:szCs w:val="28"/>
        </w:rPr>
      </w:pPr>
      <w:r w:rsidRPr="00622B8A">
        <w:rPr>
          <w:sz w:val="20"/>
          <w:szCs w:val="28"/>
        </w:rPr>
        <w:t>Shop (other than Adult sex product shop) - The leasable floor area must not exceed 150 square metres.</w:t>
      </w:r>
    </w:p>
    <w:p w14:paraId="4A88B19B" w14:textId="791263B1" w:rsidR="00622B8A" w:rsidRPr="00622B8A" w:rsidRDefault="00622B8A" w:rsidP="00833745">
      <w:pPr>
        <w:pStyle w:val="ESNumberedBullet1"/>
        <w:spacing w:before="120" w:line="280" w:lineRule="atLeast"/>
        <w:rPr>
          <w:sz w:val="20"/>
          <w:szCs w:val="28"/>
        </w:rPr>
      </w:pPr>
      <w:r w:rsidRPr="00622B8A">
        <w:rPr>
          <w:sz w:val="20"/>
          <w:szCs w:val="28"/>
        </w:rPr>
        <w:t>Tramway</w:t>
      </w:r>
    </w:p>
    <w:p w14:paraId="1581D6E9" w14:textId="7C323580" w:rsidR="00622B8A" w:rsidRPr="00622B8A" w:rsidRDefault="00622B8A" w:rsidP="00833745">
      <w:pPr>
        <w:pStyle w:val="ESNumberedBullet1"/>
        <w:spacing w:before="120" w:line="280" w:lineRule="atLeast"/>
        <w:rPr>
          <w:sz w:val="20"/>
          <w:szCs w:val="28"/>
        </w:rPr>
      </w:pPr>
      <w:r w:rsidRPr="00622B8A">
        <w:rPr>
          <w:sz w:val="20"/>
          <w:szCs w:val="28"/>
        </w:rPr>
        <w:t>Any use listed in Clause 62.01 - Must meet the requirements of Clause 62.01.</w:t>
      </w:r>
    </w:p>
    <w:p w14:paraId="72C14262" w14:textId="31C02A8B" w:rsidR="00622B8A" w:rsidRDefault="00622B8A" w:rsidP="00622B8A">
      <w:pPr>
        <w:pStyle w:val="Heading4"/>
        <w:rPr>
          <w:sz w:val="20"/>
          <w:szCs w:val="28"/>
        </w:rPr>
      </w:pPr>
      <w:r w:rsidRPr="00622B8A">
        <w:rPr>
          <w:sz w:val="20"/>
          <w:szCs w:val="28"/>
        </w:rPr>
        <w:t>Section 2 uses (Permit required)</w:t>
      </w:r>
    </w:p>
    <w:p w14:paraId="345D3A8F" w14:textId="77777777" w:rsidR="00622B8A" w:rsidRPr="0017462C" w:rsidRDefault="00622B8A" w:rsidP="00833745">
      <w:pPr>
        <w:pStyle w:val="ESNumberedBullet1"/>
        <w:spacing w:before="120" w:line="280" w:lineRule="atLeast"/>
        <w:rPr>
          <w:sz w:val="20"/>
          <w:szCs w:val="28"/>
        </w:rPr>
      </w:pPr>
      <w:r w:rsidRPr="0017462C">
        <w:rPr>
          <w:sz w:val="20"/>
          <w:szCs w:val="28"/>
        </w:rPr>
        <w:t>Accommodation (other than Community care accommodation, Dependent person's unit, Dwelling, Residential aged care facility and Rooming house)</w:t>
      </w:r>
    </w:p>
    <w:p w14:paraId="5D76DF31" w14:textId="44F6A300" w:rsidR="00622B8A" w:rsidRPr="0017462C" w:rsidRDefault="00622B8A" w:rsidP="00833745">
      <w:pPr>
        <w:pStyle w:val="ESNumberedBullet1"/>
        <w:spacing w:before="120" w:line="280" w:lineRule="atLeast"/>
        <w:rPr>
          <w:sz w:val="20"/>
          <w:szCs w:val="28"/>
        </w:rPr>
      </w:pPr>
      <w:r w:rsidRPr="0017462C">
        <w:rPr>
          <w:sz w:val="20"/>
          <w:szCs w:val="28"/>
        </w:rPr>
        <w:t>Agriculture (other than Animal production, Apiculture, Domestic animal husbandry and Racing dog husbandry)</w:t>
      </w:r>
    </w:p>
    <w:p w14:paraId="56258222" w14:textId="77FE3CF9" w:rsidR="0017462C" w:rsidRPr="0017462C" w:rsidRDefault="0017462C" w:rsidP="00833745">
      <w:pPr>
        <w:pStyle w:val="ESNumberedBullet1"/>
        <w:spacing w:before="120" w:line="280" w:lineRule="atLeast"/>
        <w:rPr>
          <w:sz w:val="20"/>
          <w:szCs w:val="28"/>
        </w:rPr>
      </w:pPr>
      <w:r w:rsidRPr="0017462C">
        <w:rPr>
          <w:sz w:val="20"/>
          <w:szCs w:val="28"/>
        </w:rPr>
        <w:t>Domestic animal boarding</w:t>
      </w:r>
    </w:p>
    <w:p w14:paraId="3A8A4002" w14:textId="64C66FB4" w:rsidR="0017462C" w:rsidRPr="0017462C" w:rsidRDefault="0017462C" w:rsidP="00833745">
      <w:pPr>
        <w:pStyle w:val="ESNumberedBullet1"/>
        <w:spacing w:before="120" w:line="280" w:lineRule="atLeast"/>
        <w:rPr>
          <w:sz w:val="20"/>
          <w:szCs w:val="28"/>
        </w:rPr>
      </w:pPr>
      <w:r w:rsidRPr="0017462C">
        <w:rPr>
          <w:sz w:val="20"/>
          <w:szCs w:val="28"/>
        </w:rPr>
        <w:t>Domestic animal husbandry (other than Domestic animal boarding) – if the Section 1 condition is not met</w:t>
      </w:r>
    </w:p>
    <w:p w14:paraId="14D90519" w14:textId="64A547D4" w:rsidR="0017462C" w:rsidRPr="0017462C" w:rsidRDefault="0017462C" w:rsidP="00833745">
      <w:pPr>
        <w:pStyle w:val="ESNumberedBullet1"/>
        <w:spacing w:before="120" w:line="280" w:lineRule="atLeast"/>
        <w:rPr>
          <w:sz w:val="20"/>
          <w:szCs w:val="28"/>
        </w:rPr>
      </w:pPr>
      <w:r w:rsidRPr="0017462C">
        <w:rPr>
          <w:sz w:val="20"/>
          <w:szCs w:val="28"/>
        </w:rPr>
        <w:t>Grazing animal production</w:t>
      </w:r>
    </w:p>
    <w:p w14:paraId="649EF37A" w14:textId="40EF6A0F" w:rsidR="0017462C" w:rsidRPr="0017462C" w:rsidRDefault="0017462C" w:rsidP="00833745">
      <w:pPr>
        <w:pStyle w:val="ESNumberedBullet1"/>
        <w:spacing w:before="120" w:line="280" w:lineRule="atLeast"/>
        <w:rPr>
          <w:sz w:val="20"/>
          <w:szCs w:val="28"/>
        </w:rPr>
      </w:pPr>
      <w:r w:rsidRPr="0017462C">
        <w:rPr>
          <w:sz w:val="20"/>
          <w:szCs w:val="28"/>
        </w:rPr>
        <w:t>Industry (other than Materials recycling and Transfer station)</w:t>
      </w:r>
    </w:p>
    <w:p w14:paraId="5842C099" w14:textId="13E39D3A" w:rsidR="0017462C" w:rsidRPr="0017462C" w:rsidRDefault="0017462C" w:rsidP="00833745">
      <w:pPr>
        <w:pStyle w:val="ESNumberedBullet1"/>
        <w:spacing w:before="120" w:line="280" w:lineRule="atLeast"/>
        <w:rPr>
          <w:sz w:val="20"/>
          <w:szCs w:val="28"/>
        </w:rPr>
      </w:pPr>
      <w:r w:rsidRPr="0017462C">
        <w:rPr>
          <w:sz w:val="20"/>
          <w:szCs w:val="28"/>
        </w:rPr>
        <w:t>Leisure and recreation (other than Informal outdoor recreation)</w:t>
      </w:r>
    </w:p>
    <w:p w14:paraId="221C91A3" w14:textId="77777777" w:rsidR="0017462C" w:rsidRPr="0017462C" w:rsidRDefault="0017462C" w:rsidP="00833745">
      <w:pPr>
        <w:pStyle w:val="ESNumberedBullet1"/>
        <w:spacing w:before="120" w:line="280" w:lineRule="atLeast"/>
        <w:rPr>
          <w:sz w:val="20"/>
          <w:szCs w:val="28"/>
        </w:rPr>
      </w:pPr>
      <w:r w:rsidRPr="0017462C">
        <w:rPr>
          <w:sz w:val="20"/>
          <w:szCs w:val="28"/>
        </w:rPr>
        <w:t>Place of assembly (other than Art gallery, Carnival, Circus, Museum and Place of worship)</w:t>
      </w:r>
    </w:p>
    <w:p w14:paraId="4B2C1DE2" w14:textId="768345A8" w:rsidR="0017462C" w:rsidRPr="0017462C" w:rsidRDefault="0017462C" w:rsidP="00833745">
      <w:pPr>
        <w:pStyle w:val="ESNumberedBullet1"/>
        <w:spacing w:before="120" w:line="280" w:lineRule="atLeast"/>
        <w:rPr>
          <w:sz w:val="20"/>
          <w:szCs w:val="28"/>
        </w:rPr>
      </w:pPr>
      <w:r w:rsidRPr="0017462C">
        <w:rPr>
          <w:sz w:val="20"/>
          <w:szCs w:val="28"/>
        </w:rPr>
        <w:t>Retail premises (other than Food and drink premises and Shop)</w:t>
      </w:r>
    </w:p>
    <w:p w14:paraId="6F18B496" w14:textId="21D4D76E" w:rsidR="0017462C" w:rsidRPr="0017462C" w:rsidRDefault="0017462C" w:rsidP="00833745">
      <w:pPr>
        <w:pStyle w:val="ESNumberedBullet1"/>
        <w:spacing w:before="120" w:line="280" w:lineRule="atLeast"/>
        <w:rPr>
          <w:sz w:val="20"/>
          <w:szCs w:val="28"/>
        </w:rPr>
      </w:pPr>
      <w:r w:rsidRPr="0017462C">
        <w:rPr>
          <w:sz w:val="20"/>
          <w:szCs w:val="28"/>
        </w:rPr>
        <w:t>Utility installation (other than Minor utility installation and Telecommunications facility)</w:t>
      </w:r>
    </w:p>
    <w:p w14:paraId="47A4815F" w14:textId="0D040064" w:rsidR="0017462C" w:rsidRPr="0017462C" w:rsidRDefault="0017462C" w:rsidP="00833745">
      <w:pPr>
        <w:pStyle w:val="ESNumberedBullet1"/>
        <w:spacing w:before="120" w:line="280" w:lineRule="atLeast"/>
        <w:rPr>
          <w:sz w:val="20"/>
          <w:szCs w:val="28"/>
        </w:rPr>
      </w:pPr>
      <w:r w:rsidRPr="0017462C">
        <w:rPr>
          <w:sz w:val="20"/>
          <w:szCs w:val="28"/>
        </w:rPr>
        <w:t>Warehouse</w:t>
      </w:r>
    </w:p>
    <w:p w14:paraId="3C066FE6" w14:textId="16BFD98A" w:rsidR="00622B8A" w:rsidRDefault="00622B8A" w:rsidP="00622B8A">
      <w:pPr>
        <w:pStyle w:val="Heading4"/>
        <w:rPr>
          <w:sz w:val="20"/>
          <w:szCs w:val="28"/>
        </w:rPr>
      </w:pPr>
      <w:r w:rsidRPr="00622B8A">
        <w:rPr>
          <w:sz w:val="20"/>
          <w:szCs w:val="28"/>
        </w:rPr>
        <w:t>Section 3 uses (Prohibited)</w:t>
      </w:r>
    </w:p>
    <w:p w14:paraId="4924C86E" w14:textId="77777777" w:rsidR="0017462C" w:rsidRPr="0017462C" w:rsidRDefault="0017462C" w:rsidP="00833745">
      <w:pPr>
        <w:pStyle w:val="ESNumberedBullet1"/>
        <w:spacing w:before="120" w:line="280" w:lineRule="atLeast"/>
        <w:rPr>
          <w:sz w:val="20"/>
          <w:szCs w:val="28"/>
        </w:rPr>
      </w:pPr>
      <w:r w:rsidRPr="0017462C">
        <w:rPr>
          <w:sz w:val="20"/>
          <w:szCs w:val="28"/>
        </w:rPr>
        <w:t>Adult sex product shop</w:t>
      </w:r>
    </w:p>
    <w:p w14:paraId="0860805F" w14:textId="77777777" w:rsidR="0017462C" w:rsidRPr="0017462C" w:rsidRDefault="0017462C" w:rsidP="00833745">
      <w:pPr>
        <w:pStyle w:val="ESNumberedBullet1"/>
        <w:spacing w:before="120" w:line="280" w:lineRule="atLeast"/>
        <w:rPr>
          <w:sz w:val="20"/>
          <w:szCs w:val="28"/>
        </w:rPr>
      </w:pPr>
      <w:r w:rsidRPr="0017462C">
        <w:rPr>
          <w:sz w:val="20"/>
          <w:szCs w:val="28"/>
        </w:rPr>
        <w:lastRenderedPageBreak/>
        <w:t>Animal production (other than Grazing animal production)</w:t>
      </w:r>
    </w:p>
    <w:p w14:paraId="4392276A" w14:textId="77777777" w:rsidR="0017462C" w:rsidRPr="0017462C" w:rsidRDefault="0017462C" w:rsidP="00833745">
      <w:pPr>
        <w:pStyle w:val="ESNumberedBullet1"/>
        <w:spacing w:before="120" w:line="280" w:lineRule="atLeast"/>
        <w:rPr>
          <w:sz w:val="20"/>
          <w:szCs w:val="28"/>
        </w:rPr>
      </w:pPr>
      <w:r w:rsidRPr="0017462C">
        <w:rPr>
          <w:sz w:val="20"/>
          <w:szCs w:val="28"/>
        </w:rPr>
        <w:t>Brothel</w:t>
      </w:r>
    </w:p>
    <w:p w14:paraId="43CAAC5A" w14:textId="77777777" w:rsidR="0017462C" w:rsidRPr="0017462C" w:rsidRDefault="0017462C" w:rsidP="00833745">
      <w:pPr>
        <w:pStyle w:val="ESNumberedBullet1"/>
        <w:spacing w:before="120" w:line="280" w:lineRule="atLeast"/>
        <w:rPr>
          <w:sz w:val="20"/>
          <w:szCs w:val="28"/>
        </w:rPr>
      </w:pPr>
      <w:r w:rsidRPr="0017462C">
        <w:rPr>
          <w:sz w:val="20"/>
          <w:szCs w:val="28"/>
        </w:rPr>
        <w:t>Extractive industry</w:t>
      </w:r>
    </w:p>
    <w:p w14:paraId="0BD2E09A" w14:textId="77777777" w:rsidR="0017462C" w:rsidRPr="0017462C" w:rsidRDefault="0017462C" w:rsidP="00833745">
      <w:pPr>
        <w:pStyle w:val="ESNumberedBullet1"/>
        <w:spacing w:before="120" w:line="280" w:lineRule="atLeast"/>
        <w:rPr>
          <w:sz w:val="20"/>
          <w:szCs w:val="28"/>
        </w:rPr>
      </w:pPr>
      <w:r w:rsidRPr="0017462C">
        <w:rPr>
          <w:sz w:val="20"/>
          <w:szCs w:val="28"/>
        </w:rPr>
        <w:t>Materials recycling</w:t>
      </w:r>
    </w:p>
    <w:p w14:paraId="0E8A111F" w14:textId="5C7044BC" w:rsidR="0017462C" w:rsidRPr="0017462C" w:rsidRDefault="0017462C" w:rsidP="00833745">
      <w:pPr>
        <w:pStyle w:val="ESNumberedBullet1"/>
        <w:spacing w:before="120" w:line="280" w:lineRule="atLeast"/>
        <w:rPr>
          <w:sz w:val="20"/>
          <w:szCs w:val="28"/>
        </w:rPr>
      </w:pPr>
      <w:r w:rsidRPr="0017462C">
        <w:rPr>
          <w:sz w:val="20"/>
          <w:szCs w:val="28"/>
        </w:rPr>
        <w:t>Transfer station (other than Automated collection point)</w:t>
      </w:r>
    </w:p>
    <w:p w14:paraId="471BF5AC" w14:textId="77777777" w:rsidR="0017462C" w:rsidRDefault="0017462C" w:rsidP="00F25124">
      <w:pPr>
        <w:rPr>
          <w:sz w:val="20"/>
          <w:szCs w:val="28"/>
        </w:rPr>
      </w:pPr>
    </w:p>
    <w:p w14:paraId="10B07A3D" w14:textId="692838E7" w:rsidR="00F25124" w:rsidRPr="00595E2F" w:rsidRDefault="00F25124" w:rsidP="00833745">
      <w:pPr>
        <w:spacing w:before="120" w:line="280" w:lineRule="atLeast"/>
        <w:jc w:val="both"/>
        <w:rPr>
          <w:sz w:val="20"/>
          <w:szCs w:val="28"/>
        </w:rPr>
      </w:pPr>
      <w:r w:rsidRPr="00595E2F">
        <w:rPr>
          <w:sz w:val="20"/>
          <w:szCs w:val="28"/>
        </w:rPr>
        <w:t xml:space="preserve">As per Clause 32.04-4 a permit is required to subdivide land. </w:t>
      </w:r>
    </w:p>
    <w:p w14:paraId="5D4E1EEB" w14:textId="77777777" w:rsidR="00F25124" w:rsidRPr="00595E2F" w:rsidRDefault="00F25124" w:rsidP="00833745">
      <w:pPr>
        <w:spacing w:before="120" w:line="280" w:lineRule="atLeast"/>
        <w:jc w:val="both"/>
        <w:rPr>
          <w:sz w:val="20"/>
          <w:szCs w:val="28"/>
        </w:rPr>
      </w:pPr>
    </w:p>
    <w:p w14:paraId="19051662" w14:textId="44FC1DB6" w:rsidR="00F25124" w:rsidRPr="00595E2F" w:rsidRDefault="00F25124" w:rsidP="00833745">
      <w:pPr>
        <w:spacing w:before="120" w:line="280" w:lineRule="atLeast"/>
        <w:jc w:val="both"/>
        <w:rPr>
          <w:sz w:val="20"/>
          <w:szCs w:val="28"/>
        </w:rPr>
      </w:pPr>
      <w:r w:rsidRPr="00595E2F">
        <w:rPr>
          <w:sz w:val="20"/>
          <w:szCs w:val="28"/>
        </w:rPr>
        <w:t xml:space="preserve">Clause 32.04-11-10 sets out that the maximum building height requirement should follow the requirements set out in the schedule to the clause. The schedule does not set out a maximum building height.  </w:t>
      </w:r>
    </w:p>
    <w:p w14:paraId="73386E7D" w14:textId="77777777" w:rsidR="00F25124" w:rsidRDefault="00F25124" w:rsidP="00F25124">
      <w:pPr>
        <w:pStyle w:val="Heading2NoNumbers"/>
      </w:pPr>
      <w:r>
        <w:t xml:space="preserve">Overlays </w:t>
      </w:r>
    </w:p>
    <w:p w14:paraId="56F396C9" w14:textId="77777777" w:rsidR="00F25124" w:rsidRDefault="00F25124" w:rsidP="00F25124">
      <w:pPr>
        <w:pStyle w:val="Heading3"/>
      </w:pPr>
      <w:r>
        <w:t>Heritage Overlay</w:t>
      </w:r>
    </w:p>
    <w:p w14:paraId="7DA79CF7" w14:textId="18051427" w:rsidR="00F25124" w:rsidRPr="00595E2F" w:rsidRDefault="00F25124" w:rsidP="00833745">
      <w:pPr>
        <w:spacing w:before="120" w:line="280" w:lineRule="atLeast"/>
        <w:jc w:val="both"/>
        <w:rPr>
          <w:sz w:val="20"/>
          <w:szCs w:val="28"/>
        </w:rPr>
      </w:pPr>
      <w:r w:rsidRPr="00595E2F">
        <w:rPr>
          <w:sz w:val="20"/>
          <w:szCs w:val="28"/>
        </w:rPr>
        <w:t xml:space="preserve">The subject site is impacted by the Heritage Overlay (HO). </w:t>
      </w:r>
      <w:r w:rsidR="00F43C98" w:rsidRPr="00595E2F">
        <w:rPr>
          <w:sz w:val="20"/>
          <w:szCs w:val="28"/>
        </w:rPr>
        <w:t xml:space="preserve"> </w:t>
      </w:r>
      <w:r w:rsidRPr="00595E2F">
        <w:rPr>
          <w:sz w:val="20"/>
          <w:szCs w:val="28"/>
        </w:rPr>
        <w:t>The Purpose of the HO is to</w:t>
      </w:r>
    </w:p>
    <w:p w14:paraId="223D9CFA"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implement the Municipal Planning Strategy and the Planning Policy Framework.</w:t>
      </w:r>
    </w:p>
    <w:p w14:paraId="30BBF65E"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conserve and enhance heritage places of natural or cultural significance.</w:t>
      </w:r>
    </w:p>
    <w:p w14:paraId="35E73BEE"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conserve and enhance those elements which contribute to the significance of heritage places.</w:t>
      </w:r>
    </w:p>
    <w:p w14:paraId="02F2F3C1"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ensure that development does not adversely affect the significance of heritage places.</w:t>
      </w:r>
    </w:p>
    <w:p w14:paraId="3D7DE1DE"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conserve specified heritage places by allowing a use that would otherwise be prohibited if this will demonstrably assist with the conservation of the significance of the heritage place.</w:t>
      </w:r>
    </w:p>
    <w:p w14:paraId="214EE8AE" w14:textId="0B2ADF16" w:rsidR="00F25124" w:rsidRPr="00595E2F" w:rsidRDefault="00F25124" w:rsidP="00833745">
      <w:pPr>
        <w:spacing w:before="120" w:line="280" w:lineRule="atLeast"/>
        <w:jc w:val="both"/>
        <w:rPr>
          <w:sz w:val="20"/>
          <w:szCs w:val="28"/>
        </w:rPr>
      </w:pPr>
      <w:r w:rsidRPr="00595E2F">
        <w:rPr>
          <w:sz w:val="20"/>
          <w:szCs w:val="28"/>
        </w:rPr>
        <w:t xml:space="preserve">The subject site is located within the Heritage Overlay – Schedule 3 (HO3) which impacts the North and West Melbourne Precinct, as shown in </w:t>
      </w:r>
      <w:r w:rsidRPr="00833745">
        <w:rPr>
          <w:b/>
          <w:bCs/>
          <w:sz w:val="20"/>
          <w:szCs w:val="28"/>
        </w:rPr>
        <w:t xml:space="preserve">Figure </w:t>
      </w:r>
      <w:r w:rsidR="004811B8" w:rsidRPr="00833745">
        <w:rPr>
          <w:b/>
          <w:bCs/>
          <w:sz w:val="20"/>
          <w:szCs w:val="28"/>
        </w:rPr>
        <w:t>5</w:t>
      </w:r>
      <w:r w:rsidRPr="00595E2F">
        <w:rPr>
          <w:sz w:val="20"/>
          <w:szCs w:val="28"/>
        </w:rPr>
        <w:t xml:space="preserve">. The subject site is included in </w:t>
      </w:r>
      <w:r w:rsidRPr="00833745">
        <w:rPr>
          <w:sz w:val="20"/>
          <w:szCs w:val="28"/>
        </w:rPr>
        <w:t>Heritage Precinct Statements of Significance February 2020</w:t>
      </w:r>
      <w:r w:rsidRPr="00595E2F">
        <w:rPr>
          <w:sz w:val="20"/>
          <w:szCs w:val="28"/>
        </w:rPr>
        <w:t xml:space="preserve">, which was added as an incorporated document to the Melbourne Planning Scheme through Amendment C258. </w:t>
      </w:r>
    </w:p>
    <w:p w14:paraId="3FFDDF42" w14:textId="77777777" w:rsidR="00F43C98" w:rsidRDefault="00F43C98" w:rsidP="00F25124">
      <w:pPr>
        <w:rPr>
          <w:noProof/>
        </w:rPr>
      </w:pPr>
    </w:p>
    <w:p w14:paraId="3BE87013" w14:textId="70066281" w:rsidR="00F25124" w:rsidRDefault="00F25124" w:rsidP="00F25124">
      <w:r>
        <w:rPr>
          <w:noProof/>
        </w:rPr>
        <w:drawing>
          <wp:inline distT="0" distB="0" distL="0" distR="0" wp14:anchorId="4990B3B0" wp14:editId="60D55EDE">
            <wp:extent cx="5124893" cy="2609746"/>
            <wp:effectExtent l="0" t="0" r="0" b="635"/>
            <wp:docPr id="6" name="Picture 6" descr="Map showing the entire subject site located in the Heritage Overlay - Schedul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Map showing the entire subject site located in the Heritage Overlay - Schedule 3"/>
                    <pic:cNvPicPr>
                      <a:picLocks noChangeAspect="1" noChangeArrowheads="1"/>
                    </pic:cNvPicPr>
                  </pic:nvPicPr>
                  <pic:blipFill rotWithShape="1">
                    <a:blip r:embed="rId25">
                      <a:extLst>
                        <a:ext uri="{28A0092B-C50C-407E-A947-70E740481C1C}">
                          <a14:useLocalDpi xmlns:a14="http://schemas.microsoft.com/office/drawing/2010/main" val="0"/>
                        </a:ext>
                      </a:extLst>
                    </a:blip>
                    <a:srcRect t="21609" r="4611" b="5939"/>
                    <a:stretch/>
                  </pic:blipFill>
                  <pic:spPr bwMode="auto">
                    <a:xfrm>
                      <a:off x="0" y="0"/>
                      <a:ext cx="5220977" cy="2658675"/>
                    </a:xfrm>
                    <a:prstGeom prst="rect">
                      <a:avLst/>
                    </a:prstGeom>
                    <a:noFill/>
                    <a:ln>
                      <a:noFill/>
                    </a:ln>
                    <a:extLst>
                      <a:ext uri="{53640926-AAD7-44D8-BBD7-CCE9431645EC}">
                        <a14:shadowObscured xmlns:a14="http://schemas.microsoft.com/office/drawing/2010/main"/>
                      </a:ext>
                    </a:extLst>
                  </pic:spPr>
                </pic:pic>
              </a:graphicData>
            </a:graphic>
          </wp:inline>
        </w:drawing>
      </w:r>
    </w:p>
    <w:p w14:paraId="5F204D29" w14:textId="6D3928C5" w:rsidR="00F25124" w:rsidRPr="00C01256" w:rsidRDefault="00F25124" w:rsidP="00F25124">
      <w:pPr>
        <w:pStyle w:val="Caption"/>
        <w:rPr>
          <w:i w:val="0"/>
          <w:iCs w:val="0"/>
        </w:rPr>
      </w:pPr>
      <w:bookmarkStart w:id="58" w:name="_Toc149851765"/>
      <w:r w:rsidRPr="00C01256">
        <w:rPr>
          <w:i w:val="0"/>
          <w:iCs w:val="0"/>
        </w:rPr>
        <w:t xml:space="preserve">Figure </w:t>
      </w:r>
      <w:r w:rsidRPr="00C01256">
        <w:rPr>
          <w:i w:val="0"/>
          <w:iCs w:val="0"/>
        </w:rPr>
        <w:fldChar w:fldCharType="begin"/>
      </w:r>
      <w:r w:rsidRPr="00C01256">
        <w:rPr>
          <w:i w:val="0"/>
          <w:iCs w:val="0"/>
        </w:rPr>
        <w:instrText xml:space="preserve"> SEQ Figure </w:instrText>
      </w:r>
      <w:r w:rsidRPr="00C01256">
        <w:rPr>
          <w:i w:val="0"/>
          <w:iCs w:val="0"/>
        </w:rPr>
        <w:fldChar w:fldCharType="separate"/>
      </w:r>
      <w:r w:rsidR="007F66EC">
        <w:rPr>
          <w:i w:val="0"/>
          <w:iCs w:val="0"/>
          <w:noProof/>
        </w:rPr>
        <w:t>5</w:t>
      </w:r>
      <w:r w:rsidRPr="00C01256">
        <w:rPr>
          <w:i w:val="0"/>
          <w:iCs w:val="0"/>
          <w:noProof/>
        </w:rPr>
        <w:fldChar w:fldCharType="end"/>
      </w:r>
      <w:r w:rsidRPr="00C01256">
        <w:rPr>
          <w:i w:val="0"/>
          <w:iCs w:val="0"/>
        </w:rPr>
        <w:tab/>
      </w:r>
      <w:r>
        <w:rPr>
          <w:i w:val="0"/>
          <w:iCs w:val="0"/>
        </w:rPr>
        <w:t>HO3 Map</w:t>
      </w:r>
      <w:bookmarkEnd w:id="58"/>
    </w:p>
    <w:p w14:paraId="753D09F0" w14:textId="77777777" w:rsidR="00F25124" w:rsidRDefault="00F25124" w:rsidP="00F25124">
      <w:pPr>
        <w:pStyle w:val="SourceNotes"/>
        <w:rPr>
          <w:i/>
          <w:iCs/>
        </w:rPr>
      </w:pPr>
      <w:r w:rsidRPr="00C01256">
        <w:rPr>
          <w:i/>
          <w:iCs/>
        </w:rPr>
        <w:t>Source: Ethos Urban &amp; VicPlan</w:t>
      </w:r>
    </w:p>
    <w:p w14:paraId="41B3398B" w14:textId="77777777" w:rsidR="00F25124" w:rsidRPr="00595E2F" w:rsidRDefault="00F25124" w:rsidP="00833745">
      <w:pPr>
        <w:spacing w:before="120" w:line="280" w:lineRule="atLeast"/>
        <w:jc w:val="both"/>
        <w:rPr>
          <w:sz w:val="20"/>
          <w:szCs w:val="28"/>
        </w:rPr>
      </w:pPr>
      <w:r w:rsidRPr="00595E2F">
        <w:rPr>
          <w:sz w:val="20"/>
          <w:szCs w:val="28"/>
        </w:rPr>
        <w:t xml:space="preserve">As per Clause 43.01-1, a permit is required to subdivide land, demolish, or remove a building, construct a building or carry out works within the HO. </w:t>
      </w:r>
    </w:p>
    <w:p w14:paraId="13B35EFE" w14:textId="77777777" w:rsidR="00F25124" w:rsidRPr="003B4AD2" w:rsidRDefault="00F25124" w:rsidP="00F25124">
      <w:pPr>
        <w:pStyle w:val="Heading3"/>
      </w:pPr>
      <w:r>
        <w:lastRenderedPageBreak/>
        <w:t xml:space="preserve">Design and Development Overlay </w:t>
      </w:r>
    </w:p>
    <w:p w14:paraId="634FF36A" w14:textId="77777777" w:rsidR="00F25124" w:rsidRDefault="00F25124" w:rsidP="00833745">
      <w:pPr>
        <w:spacing w:before="120" w:line="280" w:lineRule="atLeast"/>
        <w:jc w:val="both"/>
        <w:rPr>
          <w:sz w:val="20"/>
          <w:szCs w:val="28"/>
        </w:rPr>
      </w:pPr>
      <w:r w:rsidRPr="00595E2F">
        <w:rPr>
          <w:sz w:val="20"/>
          <w:szCs w:val="28"/>
        </w:rPr>
        <w:t xml:space="preserve">The subject site is impacted by the Design and Development Overlay (DDO), as shown in </w:t>
      </w:r>
      <w:r w:rsidRPr="00833745">
        <w:rPr>
          <w:sz w:val="20"/>
          <w:szCs w:val="28"/>
        </w:rPr>
        <w:t>Figure 6</w:t>
      </w:r>
      <w:r w:rsidRPr="00595E2F">
        <w:rPr>
          <w:sz w:val="20"/>
          <w:szCs w:val="28"/>
        </w:rPr>
        <w:t xml:space="preserve">. </w:t>
      </w:r>
    </w:p>
    <w:p w14:paraId="1EAE8403" w14:textId="77777777" w:rsidR="00833745" w:rsidRPr="00595E2F" w:rsidRDefault="00833745" w:rsidP="00833745">
      <w:pPr>
        <w:spacing w:before="120" w:line="280" w:lineRule="atLeast"/>
        <w:jc w:val="both"/>
        <w:rPr>
          <w:sz w:val="20"/>
          <w:szCs w:val="28"/>
        </w:rPr>
      </w:pPr>
    </w:p>
    <w:p w14:paraId="0D3A0BBE" w14:textId="77777777" w:rsidR="00F25124" w:rsidRPr="00595E2F" w:rsidRDefault="00F25124" w:rsidP="00833745">
      <w:pPr>
        <w:spacing w:before="120" w:line="280" w:lineRule="atLeast"/>
        <w:jc w:val="both"/>
        <w:rPr>
          <w:sz w:val="20"/>
          <w:szCs w:val="28"/>
        </w:rPr>
      </w:pPr>
      <w:r w:rsidRPr="00595E2F">
        <w:rPr>
          <w:sz w:val="20"/>
          <w:szCs w:val="28"/>
        </w:rPr>
        <w:t xml:space="preserve">The Purpose of the DDO is: </w:t>
      </w:r>
    </w:p>
    <w:p w14:paraId="06E13086" w14:textId="77777777" w:rsidR="00F25124" w:rsidRPr="00595E2F" w:rsidRDefault="00F25124" w:rsidP="00833745">
      <w:pPr>
        <w:pStyle w:val="ESNumberedBullet1"/>
        <w:spacing w:before="120" w:line="280" w:lineRule="atLeast"/>
        <w:rPr>
          <w:i/>
          <w:iCs/>
          <w:sz w:val="20"/>
          <w:szCs w:val="28"/>
        </w:rPr>
      </w:pPr>
      <w:r w:rsidRPr="00595E2F">
        <w:rPr>
          <w:i/>
          <w:iCs/>
          <w:sz w:val="20"/>
          <w:szCs w:val="28"/>
        </w:rPr>
        <w:t>To implement the Municipal Planning Strategy and the Planning Policy Framework.</w:t>
      </w:r>
    </w:p>
    <w:p w14:paraId="080F3683" w14:textId="712EC612" w:rsidR="00F25124" w:rsidRDefault="00F25124" w:rsidP="00833745">
      <w:pPr>
        <w:pStyle w:val="ESNumberedBullet1"/>
        <w:spacing w:before="120" w:line="280" w:lineRule="atLeast"/>
        <w:rPr>
          <w:i/>
          <w:iCs/>
          <w:lang w:eastAsia="en-AU"/>
        </w:rPr>
      </w:pPr>
      <w:r w:rsidRPr="00595E2F">
        <w:rPr>
          <w:i/>
          <w:iCs/>
          <w:sz w:val="20"/>
          <w:szCs w:val="28"/>
        </w:rPr>
        <w:t>To identify areas which are affected by specific requirements relating to the design and built form of new development</w:t>
      </w:r>
      <w:r w:rsidR="00F26BB7" w:rsidRPr="00595E2F">
        <w:rPr>
          <w:i/>
          <w:iCs/>
          <w:sz w:val="20"/>
          <w:szCs w:val="28"/>
        </w:rPr>
        <w:t>.</w:t>
      </w:r>
      <w:r w:rsidR="00F26BB7">
        <w:rPr>
          <w:i/>
          <w:iCs/>
          <w:lang w:eastAsia="en-AU"/>
        </w:rPr>
        <w:br/>
      </w:r>
    </w:p>
    <w:p w14:paraId="1A0812B0" w14:textId="77777777" w:rsidR="00F25124" w:rsidRDefault="00F25124" w:rsidP="00F25124">
      <w:pPr>
        <w:pStyle w:val="ListBullet"/>
        <w:numPr>
          <w:ilvl w:val="0"/>
          <w:numId w:val="0"/>
        </w:numPr>
        <w:ind w:left="284" w:hanging="284"/>
        <w:rPr>
          <w:i/>
          <w:iCs/>
          <w:lang w:eastAsia="en-AU"/>
        </w:rPr>
      </w:pPr>
      <w:r>
        <w:rPr>
          <w:i/>
          <w:iCs/>
          <w:noProof/>
          <w:lang w:eastAsia="en-AU"/>
        </w:rPr>
        <w:drawing>
          <wp:inline distT="0" distB="0" distL="0" distR="0" wp14:anchorId="718F4256" wp14:editId="5C39A551">
            <wp:extent cx="5747679" cy="2838893"/>
            <wp:effectExtent l="0" t="0" r="5715" b="0"/>
            <wp:docPr id="5" name="Picture 5" descr="Map showing the subject site impacted by the Design and Development Overlay - Schedul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 showing the subject site impacted by the Design and Development Overlay - Schedule 66"/>
                    <pic:cNvPicPr>
                      <a:picLocks noChangeAspect="1" noChangeArrowheads="1"/>
                    </pic:cNvPicPr>
                  </pic:nvPicPr>
                  <pic:blipFill rotWithShape="1">
                    <a:blip r:embed="rId26">
                      <a:extLst>
                        <a:ext uri="{28A0092B-C50C-407E-A947-70E740481C1C}">
                          <a14:useLocalDpi xmlns:a14="http://schemas.microsoft.com/office/drawing/2010/main" val="0"/>
                        </a:ext>
                      </a:extLst>
                    </a:blip>
                    <a:srcRect t="22194" r="9714" b="5453"/>
                    <a:stretch/>
                  </pic:blipFill>
                  <pic:spPr bwMode="auto">
                    <a:xfrm>
                      <a:off x="0" y="0"/>
                      <a:ext cx="5786610" cy="2858122"/>
                    </a:xfrm>
                    <a:prstGeom prst="rect">
                      <a:avLst/>
                    </a:prstGeom>
                    <a:noFill/>
                    <a:ln>
                      <a:noFill/>
                    </a:ln>
                    <a:extLst>
                      <a:ext uri="{53640926-AAD7-44D8-BBD7-CCE9431645EC}">
                        <a14:shadowObscured xmlns:a14="http://schemas.microsoft.com/office/drawing/2010/main"/>
                      </a:ext>
                    </a:extLst>
                  </pic:spPr>
                </pic:pic>
              </a:graphicData>
            </a:graphic>
          </wp:inline>
        </w:drawing>
      </w:r>
    </w:p>
    <w:p w14:paraId="1B86BD3D" w14:textId="157853AE" w:rsidR="00F25124" w:rsidRPr="00C01256" w:rsidRDefault="00F25124" w:rsidP="00F25124">
      <w:pPr>
        <w:pStyle w:val="Caption"/>
        <w:rPr>
          <w:i w:val="0"/>
          <w:iCs w:val="0"/>
        </w:rPr>
      </w:pPr>
      <w:bookmarkStart w:id="59" w:name="_Toc149851766"/>
      <w:r w:rsidRPr="00C01256">
        <w:rPr>
          <w:i w:val="0"/>
          <w:iCs w:val="0"/>
        </w:rPr>
        <w:t xml:space="preserve">Figure </w:t>
      </w:r>
      <w:r w:rsidRPr="00C01256">
        <w:rPr>
          <w:i w:val="0"/>
          <w:iCs w:val="0"/>
        </w:rPr>
        <w:fldChar w:fldCharType="begin"/>
      </w:r>
      <w:r w:rsidRPr="00C01256">
        <w:rPr>
          <w:i w:val="0"/>
          <w:iCs w:val="0"/>
        </w:rPr>
        <w:instrText xml:space="preserve"> SEQ Figure </w:instrText>
      </w:r>
      <w:r w:rsidRPr="00C01256">
        <w:rPr>
          <w:i w:val="0"/>
          <w:iCs w:val="0"/>
        </w:rPr>
        <w:fldChar w:fldCharType="separate"/>
      </w:r>
      <w:r w:rsidR="007F66EC">
        <w:rPr>
          <w:i w:val="0"/>
          <w:iCs w:val="0"/>
          <w:noProof/>
        </w:rPr>
        <w:t>6</w:t>
      </w:r>
      <w:r w:rsidRPr="00C01256">
        <w:rPr>
          <w:i w:val="0"/>
          <w:iCs w:val="0"/>
          <w:noProof/>
        </w:rPr>
        <w:fldChar w:fldCharType="end"/>
      </w:r>
      <w:r w:rsidRPr="00C01256">
        <w:rPr>
          <w:i w:val="0"/>
          <w:iCs w:val="0"/>
        </w:rPr>
        <w:tab/>
      </w:r>
      <w:r>
        <w:rPr>
          <w:i w:val="0"/>
          <w:iCs w:val="0"/>
        </w:rPr>
        <w:t>DDO66 Map</w:t>
      </w:r>
      <w:bookmarkEnd w:id="59"/>
    </w:p>
    <w:p w14:paraId="1B169219" w14:textId="77777777" w:rsidR="00F25124" w:rsidRDefault="00F25124" w:rsidP="00F25124">
      <w:pPr>
        <w:pStyle w:val="SourceNotes"/>
        <w:rPr>
          <w:i/>
          <w:iCs/>
        </w:rPr>
      </w:pPr>
      <w:r w:rsidRPr="00C01256">
        <w:rPr>
          <w:i/>
          <w:iCs/>
        </w:rPr>
        <w:t>Source: Ethos Urban &amp; VicPlan</w:t>
      </w:r>
    </w:p>
    <w:p w14:paraId="4BEF80C1" w14:textId="3160491C" w:rsidR="00F25124" w:rsidRDefault="00F25124" w:rsidP="00833745">
      <w:pPr>
        <w:spacing w:before="120" w:line="280" w:lineRule="atLeast"/>
        <w:jc w:val="both"/>
        <w:rPr>
          <w:sz w:val="20"/>
          <w:szCs w:val="28"/>
        </w:rPr>
      </w:pPr>
      <w:r w:rsidRPr="0017462C">
        <w:rPr>
          <w:sz w:val="20"/>
          <w:szCs w:val="28"/>
        </w:rPr>
        <w:t xml:space="preserve">The entirety of the subject site is covered by the Design and Development Overlay – Schedule 66 (DDO66) which relates to the hospital emergency services helicopter flight paths for the Alfred Hospital, Royal Children’s </w:t>
      </w:r>
      <w:r w:rsidR="00B229E7" w:rsidRPr="0017462C">
        <w:rPr>
          <w:sz w:val="20"/>
          <w:szCs w:val="28"/>
        </w:rPr>
        <w:t>Hospital,</w:t>
      </w:r>
      <w:r w:rsidRPr="0017462C">
        <w:rPr>
          <w:sz w:val="20"/>
          <w:szCs w:val="28"/>
        </w:rPr>
        <w:t xml:space="preserve"> and the Royal Melbourne Hospital.</w:t>
      </w:r>
    </w:p>
    <w:p w14:paraId="21B8033A" w14:textId="77777777" w:rsidR="00833745" w:rsidRPr="0017462C" w:rsidRDefault="00833745" w:rsidP="00833745">
      <w:pPr>
        <w:spacing w:before="120" w:line="280" w:lineRule="atLeast"/>
        <w:jc w:val="both"/>
        <w:rPr>
          <w:sz w:val="20"/>
          <w:szCs w:val="28"/>
        </w:rPr>
      </w:pPr>
    </w:p>
    <w:p w14:paraId="3E2B4461" w14:textId="77777777" w:rsidR="00F25124" w:rsidRPr="0017462C" w:rsidRDefault="00F25124" w:rsidP="00833745">
      <w:pPr>
        <w:spacing w:before="120" w:line="280" w:lineRule="atLeast"/>
        <w:jc w:val="both"/>
        <w:rPr>
          <w:sz w:val="20"/>
          <w:szCs w:val="28"/>
        </w:rPr>
      </w:pPr>
      <w:r w:rsidRPr="0017462C">
        <w:rPr>
          <w:sz w:val="20"/>
          <w:szCs w:val="28"/>
        </w:rPr>
        <w:t>The design objectives for the DDO66 are:</w:t>
      </w:r>
    </w:p>
    <w:p w14:paraId="1CEB1608" w14:textId="77777777" w:rsidR="00F25124" w:rsidRPr="0017462C" w:rsidRDefault="00F25124" w:rsidP="00833745">
      <w:pPr>
        <w:pStyle w:val="ESNumberedBullet1"/>
        <w:spacing w:before="120" w:line="280" w:lineRule="atLeast"/>
        <w:rPr>
          <w:i/>
          <w:iCs/>
          <w:sz w:val="20"/>
          <w:szCs w:val="28"/>
        </w:rPr>
      </w:pPr>
      <w:r w:rsidRPr="0017462C">
        <w:rPr>
          <w:i/>
          <w:iCs/>
          <w:sz w:val="20"/>
          <w:szCs w:val="28"/>
        </w:rPr>
        <w:t>To ensure that the height of buildings and works do not encroach on the flight path areas associated with hospital helicopter landing sites.</w:t>
      </w:r>
    </w:p>
    <w:p w14:paraId="01B8EDC1" w14:textId="77777777" w:rsidR="00F25124" w:rsidRPr="0017462C" w:rsidRDefault="00F25124" w:rsidP="00833745">
      <w:pPr>
        <w:pStyle w:val="ESNumberedBullet1"/>
        <w:spacing w:before="120" w:line="280" w:lineRule="atLeast"/>
        <w:rPr>
          <w:i/>
          <w:iCs/>
          <w:sz w:val="20"/>
          <w:szCs w:val="28"/>
        </w:rPr>
      </w:pPr>
      <w:r w:rsidRPr="0017462C">
        <w:rPr>
          <w:i/>
          <w:iCs/>
          <w:sz w:val="20"/>
          <w:szCs w:val="28"/>
        </w:rPr>
        <w:t>To ensure that the height of development avoids creating a hazard to aircraft using hospital helicopter landing sites.</w:t>
      </w:r>
    </w:p>
    <w:p w14:paraId="2E85A51C" w14:textId="6027A864" w:rsidR="00F25124" w:rsidRPr="0017462C" w:rsidRDefault="00F25124" w:rsidP="00833745">
      <w:pPr>
        <w:spacing w:before="120" w:line="280" w:lineRule="atLeast"/>
        <w:jc w:val="both"/>
        <w:rPr>
          <w:sz w:val="20"/>
          <w:szCs w:val="28"/>
        </w:rPr>
      </w:pPr>
      <w:r w:rsidRPr="0017462C">
        <w:rPr>
          <w:sz w:val="20"/>
          <w:szCs w:val="28"/>
        </w:rPr>
        <w:t xml:space="preserve">A permit is required to construct a building or carry out works which would result in height which exceeds the referral height detailed in </w:t>
      </w:r>
      <w:r w:rsidRPr="00833745">
        <w:rPr>
          <w:b/>
          <w:bCs/>
          <w:sz w:val="20"/>
          <w:szCs w:val="28"/>
        </w:rPr>
        <w:t xml:space="preserve">Table </w:t>
      </w:r>
      <w:r w:rsidR="004811B8" w:rsidRPr="00833745">
        <w:rPr>
          <w:b/>
          <w:bCs/>
          <w:sz w:val="20"/>
          <w:szCs w:val="28"/>
        </w:rPr>
        <w:t>4</w:t>
      </w:r>
      <w:r w:rsidRPr="00833745">
        <w:rPr>
          <w:sz w:val="20"/>
          <w:szCs w:val="28"/>
        </w:rPr>
        <w:t xml:space="preserve"> </w:t>
      </w:r>
      <w:r w:rsidRPr="0017462C">
        <w:rPr>
          <w:sz w:val="20"/>
          <w:szCs w:val="28"/>
        </w:rPr>
        <w:t>below.</w:t>
      </w:r>
    </w:p>
    <w:p w14:paraId="581BEC27" w14:textId="3E2F6C2F" w:rsidR="00F25124" w:rsidRDefault="00F25124" w:rsidP="00F25124">
      <w:pPr>
        <w:pStyle w:val="Caption"/>
      </w:pPr>
      <w:bookmarkStart w:id="60" w:name="_Toc149851777"/>
      <w:r>
        <w:t xml:space="preserve">Table </w:t>
      </w:r>
      <w:fldSimple w:instr=" SEQ Table \* ARABIC ">
        <w:r w:rsidR="007F66EC">
          <w:rPr>
            <w:noProof/>
          </w:rPr>
          <w:t>4</w:t>
        </w:r>
      </w:fldSimple>
      <w:r w:rsidR="00670C85">
        <w:rPr>
          <w:noProof/>
        </w:rPr>
        <w:tab/>
      </w:r>
      <w:r>
        <w:t>Helicopter Landing Site</w:t>
      </w:r>
      <w:r w:rsidR="00221305">
        <w:t>s</w:t>
      </w:r>
      <w:bookmarkEnd w:id="60"/>
      <w:r w:rsidR="00221305">
        <w:t xml:space="preserve"> </w:t>
      </w:r>
    </w:p>
    <w:tbl>
      <w:tblPr>
        <w:tblStyle w:val="ETHOSTABLEStandard"/>
        <w:tblW w:w="5000" w:type="pct"/>
        <w:tblLook w:val="0620" w:firstRow="1" w:lastRow="0" w:firstColumn="0" w:lastColumn="0" w:noHBand="1" w:noVBand="1"/>
      </w:tblPr>
      <w:tblGrid>
        <w:gridCol w:w="4253"/>
        <w:gridCol w:w="2976"/>
        <w:gridCol w:w="2975"/>
      </w:tblGrid>
      <w:tr w:rsidR="00F25124" w14:paraId="5D00F75F" w14:textId="77777777" w:rsidTr="0017462C">
        <w:trPr>
          <w:cnfStyle w:val="100000000000" w:firstRow="1" w:lastRow="0" w:firstColumn="0" w:lastColumn="0" w:oddVBand="0" w:evenVBand="0" w:oddHBand="0" w:evenHBand="0" w:firstRowFirstColumn="0" w:firstRowLastColumn="0" w:lastRowFirstColumn="0" w:lastRowLastColumn="0"/>
        </w:trPr>
        <w:tc>
          <w:tcPr>
            <w:tcW w:w="4253" w:type="dxa"/>
          </w:tcPr>
          <w:p w14:paraId="423F81DD" w14:textId="77777777" w:rsidR="00F25124" w:rsidRPr="0017462C" w:rsidRDefault="00F25124" w:rsidP="0003447D">
            <w:pPr>
              <w:pStyle w:val="TableHeadingLight"/>
              <w:rPr>
                <w:sz w:val="20"/>
                <w:szCs w:val="24"/>
              </w:rPr>
            </w:pPr>
            <w:r w:rsidRPr="0017462C">
              <w:rPr>
                <w:sz w:val="20"/>
                <w:szCs w:val="24"/>
              </w:rPr>
              <w:t>Helicopter Landing Site</w:t>
            </w:r>
          </w:p>
        </w:tc>
        <w:tc>
          <w:tcPr>
            <w:tcW w:w="2977" w:type="dxa"/>
          </w:tcPr>
          <w:p w14:paraId="1965D221" w14:textId="77777777" w:rsidR="00F25124" w:rsidRPr="0017462C" w:rsidRDefault="00F25124" w:rsidP="0003447D">
            <w:pPr>
              <w:pStyle w:val="TableHeadingLight"/>
              <w:rPr>
                <w:sz w:val="20"/>
                <w:szCs w:val="24"/>
              </w:rPr>
            </w:pPr>
            <w:r w:rsidRPr="0017462C">
              <w:rPr>
                <w:sz w:val="20"/>
                <w:szCs w:val="24"/>
              </w:rPr>
              <w:t>Helipad Height (AHD)</w:t>
            </w:r>
          </w:p>
        </w:tc>
        <w:tc>
          <w:tcPr>
            <w:tcW w:w="2976" w:type="dxa"/>
          </w:tcPr>
          <w:p w14:paraId="723B0378" w14:textId="77777777" w:rsidR="00F25124" w:rsidRPr="0017462C" w:rsidRDefault="00F25124" w:rsidP="0003447D">
            <w:pPr>
              <w:pStyle w:val="TableHeadingLight"/>
              <w:rPr>
                <w:sz w:val="20"/>
                <w:szCs w:val="24"/>
              </w:rPr>
            </w:pPr>
            <w:r w:rsidRPr="0017462C">
              <w:rPr>
                <w:sz w:val="20"/>
                <w:szCs w:val="24"/>
              </w:rPr>
              <w:t>Referral Height (AHD)</w:t>
            </w:r>
          </w:p>
        </w:tc>
      </w:tr>
      <w:tr w:rsidR="00F25124" w14:paraId="659D2265" w14:textId="77777777" w:rsidTr="0017462C">
        <w:tc>
          <w:tcPr>
            <w:tcW w:w="4253" w:type="dxa"/>
          </w:tcPr>
          <w:p w14:paraId="091EDD31" w14:textId="77777777" w:rsidR="00F25124" w:rsidRPr="0017462C" w:rsidRDefault="00F25124" w:rsidP="0003447D">
            <w:pPr>
              <w:pStyle w:val="TableText"/>
              <w:rPr>
                <w:sz w:val="20"/>
                <w:szCs w:val="24"/>
              </w:rPr>
            </w:pPr>
            <w:r w:rsidRPr="0017462C">
              <w:rPr>
                <w:sz w:val="20"/>
                <w:szCs w:val="24"/>
              </w:rPr>
              <w:t>Alfred Hospital</w:t>
            </w:r>
          </w:p>
        </w:tc>
        <w:tc>
          <w:tcPr>
            <w:tcW w:w="2977" w:type="dxa"/>
          </w:tcPr>
          <w:p w14:paraId="001866F0" w14:textId="77777777" w:rsidR="00F25124" w:rsidRPr="0017462C" w:rsidRDefault="00F25124" w:rsidP="0003447D">
            <w:pPr>
              <w:pStyle w:val="TableText"/>
              <w:rPr>
                <w:sz w:val="20"/>
                <w:szCs w:val="24"/>
              </w:rPr>
            </w:pPr>
            <w:r w:rsidRPr="0017462C">
              <w:rPr>
                <w:sz w:val="20"/>
                <w:szCs w:val="24"/>
              </w:rPr>
              <w:t>15.7m</w:t>
            </w:r>
          </w:p>
        </w:tc>
        <w:tc>
          <w:tcPr>
            <w:tcW w:w="2976" w:type="dxa"/>
          </w:tcPr>
          <w:p w14:paraId="4331B943" w14:textId="77777777" w:rsidR="00F25124" w:rsidRPr="0017462C" w:rsidRDefault="00F25124" w:rsidP="0003447D">
            <w:pPr>
              <w:pStyle w:val="TableText"/>
              <w:rPr>
                <w:sz w:val="20"/>
                <w:szCs w:val="24"/>
              </w:rPr>
            </w:pPr>
            <w:r w:rsidRPr="0017462C">
              <w:rPr>
                <w:sz w:val="20"/>
                <w:szCs w:val="24"/>
              </w:rPr>
              <w:t>25.7m</w:t>
            </w:r>
          </w:p>
        </w:tc>
      </w:tr>
      <w:tr w:rsidR="00F25124" w14:paraId="5EFFDE8A" w14:textId="77777777" w:rsidTr="0017462C">
        <w:tc>
          <w:tcPr>
            <w:tcW w:w="4253" w:type="dxa"/>
          </w:tcPr>
          <w:p w14:paraId="583D691D" w14:textId="252C3C33" w:rsidR="00F25124" w:rsidRPr="0017462C" w:rsidRDefault="00F25124" w:rsidP="0003447D">
            <w:pPr>
              <w:pStyle w:val="TableText"/>
              <w:rPr>
                <w:sz w:val="20"/>
                <w:szCs w:val="24"/>
              </w:rPr>
            </w:pPr>
            <w:r w:rsidRPr="0017462C">
              <w:rPr>
                <w:sz w:val="20"/>
                <w:szCs w:val="24"/>
              </w:rPr>
              <w:t xml:space="preserve">Royal Melbourne </w:t>
            </w:r>
            <w:r w:rsidR="003C2C0A" w:rsidRPr="0017462C">
              <w:rPr>
                <w:sz w:val="20"/>
                <w:szCs w:val="24"/>
              </w:rPr>
              <w:t>Children’s</w:t>
            </w:r>
            <w:r w:rsidRPr="0017462C">
              <w:rPr>
                <w:sz w:val="20"/>
                <w:szCs w:val="24"/>
              </w:rPr>
              <w:t xml:space="preserve"> Hospital</w:t>
            </w:r>
          </w:p>
        </w:tc>
        <w:tc>
          <w:tcPr>
            <w:tcW w:w="2977" w:type="dxa"/>
          </w:tcPr>
          <w:p w14:paraId="46F65101" w14:textId="77777777" w:rsidR="00F25124" w:rsidRPr="0017462C" w:rsidRDefault="00F25124" w:rsidP="0003447D">
            <w:pPr>
              <w:pStyle w:val="TableText"/>
              <w:rPr>
                <w:sz w:val="20"/>
                <w:szCs w:val="24"/>
              </w:rPr>
            </w:pPr>
            <w:r w:rsidRPr="0017462C">
              <w:rPr>
                <w:sz w:val="20"/>
                <w:szCs w:val="24"/>
              </w:rPr>
              <w:t>62.4m</w:t>
            </w:r>
          </w:p>
        </w:tc>
        <w:tc>
          <w:tcPr>
            <w:tcW w:w="2976" w:type="dxa"/>
          </w:tcPr>
          <w:p w14:paraId="728E7A89" w14:textId="77777777" w:rsidR="00F25124" w:rsidRPr="0017462C" w:rsidRDefault="00F25124" w:rsidP="0003447D">
            <w:pPr>
              <w:pStyle w:val="TableText"/>
              <w:rPr>
                <w:sz w:val="20"/>
                <w:szCs w:val="24"/>
              </w:rPr>
            </w:pPr>
            <w:r w:rsidRPr="0017462C">
              <w:rPr>
                <w:sz w:val="20"/>
                <w:szCs w:val="24"/>
              </w:rPr>
              <w:t>72.4m</w:t>
            </w:r>
          </w:p>
        </w:tc>
      </w:tr>
      <w:tr w:rsidR="00F25124" w14:paraId="47DBC37E" w14:textId="77777777" w:rsidTr="0017462C">
        <w:tc>
          <w:tcPr>
            <w:tcW w:w="4253" w:type="dxa"/>
          </w:tcPr>
          <w:p w14:paraId="19094F3E" w14:textId="77777777" w:rsidR="00F25124" w:rsidRPr="0017462C" w:rsidRDefault="00F25124" w:rsidP="0003447D">
            <w:pPr>
              <w:pStyle w:val="TableText"/>
              <w:rPr>
                <w:sz w:val="20"/>
                <w:szCs w:val="24"/>
              </w:rPr>
            </w:pPr>
            <w:r w:rsidRPr="0017462C">
              <w:rPr>
                <w:sz w:val="20"/>
                <w:szCs w:val="24"/>
              </w:rPr>
              <w:t>Royal Melbourne Hospital</w:t>
            </w:r>
          </w:p>
        </w:tc>
        <w:tc>
          <w:tcPr>
            <w:tcW w:w="2977" w:type="dxa"/>
          </w:tcPr>
          <w:p w14:paraId="1531C1B6" w14:textId="77777777" w:rsidR="00F25124" w:rsidRPr="0017462C" w:rsidRDefault="00F25124" w:rsidP="0003447D">
            <w:pPr>
              <w:pStyle w:val="TableText"/>
              <w:rPr>
                <w:sz w:val="20"/>
                <w:szCs w:val="24"/>
              </w:rPr>
            </w:pPr>
            <w:r w:rsidRPr="0017462C">
              <w:rPr>
                <w:sz w:val="20"/>
                <w:szCs w:val="24"/>
              </w:rPr>
              <w:t>67.3m</w:t>
            </w:r>
          </w:p>
        </w:tc>
        <w:tc>
          <w:tcPr>
            <w:tcW w:w="2976" w:type="dxa"/>
          </w:tcPr>
          <w:p w14:paraId="30E121D5" w14:textId="77777777" w:rsidR="00F25124" w:rsidRPr="0017462C" w:rsidRDefault="00F25124" w:rsidP="0003447D">
            <w:pPr>
              <w:pStyle w:val="TableText"/>
              <w:rPr>
                <w:sz w:val="20"/>
                <w:szCs w:val="24"/>
              </w:rPr>
            </w:pPr>
            <w:r w:rsidRPr="0017462C">
              <w:rPr>
                <w:sz w:val="20"/>
                <w:szCs w:val="24"/>
              </w:rPr>
              <w:t>77.3m</w:t>
            </w:r>
          </w:p>
        </w:tc>
      </w:tr>
    </w:tbl>
    <w:p w14:paraId="54E78DD1" w14:textId="77777777" w:rsidR="00F25124" w:rsidRDefault="00F25124" w:rsidP="00F25124">
      <w:pPr>
        <w:pStyle w:val="SourceNotes"/>
      </w:pPr>
      <w:r>
        <w:t>Source: Melbourne Planning Scheme</w:t>
      </w:r>
    </w:p>
    <w:p w14:paraId="7BCB1FAC" w14:textId="09F12048" w:rsidR="00F25124" w:rsidRDefault="00F25124">
      <w:pPr>
        <w:spacing w:line="259" w:lineRule="auto"/>
        <w:contextualSpacing w:val="0"/>
        <w:rPr>
          <w:rFonts w:asciiTheme="majorHAnsi" w:eastAsiaTheme="majorEastAsia" w:hAnsiTheme="majorHAnsi" w:cstheme="majorBidi"/>
          <w:color w:val="0C008E" w:themeColor="text2"/>
          <w:sz w:val="36"/>
          <w:szCs w:val="32"/>
        </w:rPr>
      </w:pPr>
      <w:r>
        <w:br w:type="page"/>
      </w:r>
    </w:p>
    <w:p w14:paraId="5FDAF1DE" w14:textId="00CE0CBB" w:rsidR="0094066C" w:rsidRPr="00C63591" w:rsidRDefault="0094066C" w:rsidP="0094066C">
      <w:pPr>
        <w:pStyle w:val="Heading1"/>
      </w:pPr>
      <w:bookmarkStart w:id="61" w:name="_Toc152146939"/>
      <w:r w:rsidRPr="00C63591">
        <w:lastRenderedPageBreak/>
        <w:t>The Proposal</w:t>
      </w:r>
      <w:bookmarkEnd w:id="61"/>
    </w:p>
    <w:p w14:paraId="6D7DC45C" w14:textId="77777777" w:rsidR="0094066C" w:rsidRPr="00C63591" w:rsidRDefault="0094066C" w:rsidP="0094066C">
      <w:pPr>
        <w:pStyle w:val="Heading2"/>
      </w:pPr>
      <w:bookmarkStart w:id="62" w:name="_Toc103201862"/>
      <w:bookmarkStart w:id="63" w:name="_Toc152146940"/>
      <w:r w:rsidRPr="00C63591">
        <w:t>Proposed Planning Scheme Amendment</w:t>
      </w:r>
      <w:bookmarkEnd w:id="62"/>
      <w:bookmarkEnd w:id="63"/>
    </w:p>
    <w:p w14:paraId="3F5746F1" w14:textId="77777777" w:rsidR="00F25124" w:rsidRDefault="00F25124" w:rsidP="0094066C"/>
    <w:p w14:paraId="0CE30126" w14:textId="6145FA95" w:rsidR="0094066C" w:rsidRPr="0017462C" w:rsidRDefault="0094066C" w:rsidP="00833745">
      <w:pPr>
        <w:spacing w:before="120" w:line="280" w:lineRule="atLeast"/>
        <w:jc w:val="both"/>
        <w:rPr>
          <w:sz w:val="20"/>
          <w:szCs w:val="28"/>
        </w:rPr>
      </w:pPr>
      <w:r w:rsidRPr="0017462C">
        <w:rPr>
          <w:sz w:val="20"/>
          <w:szCs w:val="28"/>
        </w:rPr>
        <w:t xml:space="preserve">The Electrical Trades Union (ETU) propose various amendments to the existing controls impacting the subject site at 200 Arden Street, North Melbourne. The ETU have owned and occupied the subject site for more than 10 years, using the site as its administrative head office in Victoria, and </w:t>
      </w:r>
      <w:r w:rsidR="003C2C0A" w:rsidRPr="0017462C">
        <w:rPr>
          <w:sz w:val="20"/>
          <w:szCs w:val="28"/>
        </w:rPr>
        <w:t>requires</w:t>
      </w:r>
      <w:r w:rsidRPr="0017462C">
        <w:rPr>
          <w:sz w:val="20"/>
          <w:szCs w:val="28"/>
        </w:rPr>
        <w:t xml:space="preserve"> minor amendments to enable the continued use of the site by the ETU. </w:t>
      </w:r>
    </w:p>
    <w:p w14:paraId="7BAFCEDD" w14:textId="77777777" w:rsidR="0094066C" w:rsidRPr="0017462C" w:rsidRDefault="0094066C" w:rsidP="00833745">
      <w:pPr>
        <w:spacing w:before="120" w:line="280" w:lineRule="atLeast"/>
        <w:jc w:val="both"/>
        <w:rPr>
          <w:sz w:val="20"/>
          <w:szCs w:val="28"/>
        </w:rPr>
      </w:pPr>
    </w:p>
    <w:p w14:paraId="22A0001A" w14:textId="047AE80E" w:rsidR="0094066C" w:rsidRPr="0017462C" w:rsidRDefault="0094066C" w:rsidP="00833745">
      <w:pPr>
        <w:spacing w:before="120" w:line="280" w:lineRule="atLeast"/>
        <w:jc w:val="both"/>
        <w:rPr>
          <w:sz w:val="20"/>
          <w:szCs w:val="28"/>
        </w:rPr>
      </w:pPr>
      <w:r w:rsidRPr="0017462C">
        <w:rPr>
          <w:sz w:val="20"/>
          <w:szCs w:val="28"/>
        </w:rPr>
        <w:t xml:space="preserve">The ETU utilise the existing commercial building for the purposes of administrative offices, meeting rooms, and the delivery of training and support programmes to ETU members, their families, </w:t>
      </w:r>
      <w:r w:rsidR="003C2C0A" w:rsidRPr="0017462C">
        <w:rPr>
          <w:sz w:val="20"/>
          <w:szCs w:val="28"/>
        </w:rPr>
        <w:t xml:space="preserve">and </w:t>
      </w:r>
      <w:r w:rsidRPr="0017462C">
        <w:rPr>
          <w:sz w:val="20"/>
          <w:szCs w:val="28"/>
        </w:rPr>
        <w:t>the local community. The ETU also currently leases part of the property to separate entities, Protect and Holmesglen Institute, for use as commercial offices and training facilities, respectively, and there have previously been similar lease arrangements in relation to other parts of the property.</w:t>
      </w:r>
    </w:p>
    <w:p w14:paraId="6F30BD2F" w14:textId="77777777" w:rsidR="0094066C" w:rsidRPr="0017462C" w:rsidRDefault="0094066C" w:rsidP="00833745">
      <w:pPr>
        <w:spacing w:before="120" w:line="280" w:lineRule="atLeast"/>
        <w:jc w:val="both"/>
        <w:rPr>
          <w:sz w:val="20"/>
          <w:szCs w:val="28"/>
        </w:rPr>
      </w:pPr>
    </w:p>
    <w:p w14:paraId="3BD6A8D0" w14:textId="6BAD2BD8" w:rsidR="0094066C" w:rsidRPr="0017462C" w:rsidRDefault="0094066C" w:rsidP="00833745">
      <w:pPr>
        <w:spacing w:before="120" w:line="280" w:lineRule="atLeast"/>
        <w:jc w:val="both"/>
        <w:rPr>
          <w:sz w:val="20"/>
          <w:szCs w:val="28"/>
        </w:rPr>
      </w:pPr>
      <w:r w:rsidRPr="0017462C">
        <w:rPr>
          <w:sz w:val="20"/>
          <w:szCs w:val="28"/>
        </w:rPr>
        <w:t xml:space="preserve">The ETU </w:t>
      </w:r>
      <w:r w:rsidR="003C2C0A" w:rsidRPr="0017462C">
        <w:rPr>
          <w:sz w:val="20"/>
          <w:szCs w:val="28"/>
        </w:rPr>
        <w:t>wants</w:t>
      </w:r>
      <w:r w:rsidRPr="0017462C">
        <w:rPr>
          <w:sz w:val="20"/>
          <w:szCs w:val="28"/>
        </w:rPr>
        <w:t xml:space="preserve"> to maintain </w:t>
      </w:r>
      <w:r w:rsidR="00455833" w:rsidRPr="0017462C">
        <w:rPr>
          <w:sz w:val="20"/>
          <w:szCs w:val="28"/>
        </w:rPr>
        <w:t xml:space="preserve">its </w:t>
      </w:r>
      <w:r w:rsidRPr="0017462C">
        <w:rPr>
          <w:sz w:val="20"/>
          <w:szCs w:val="28"/>
        </w:rPr>
        <w:t>existing use of the building, however</w:t>
      </w:r>
      <w:r w:rsidR="003C2C0A" w:rsidRPr="0017462C">
        <w:rPr>
          <w:sz w:val="20"/>
          <w:szCs w:val="28"/>
        </w:rPr>
        <w:t>,</w:t>
      </w:r>
      <w:r w:rsidRPr="0017462C">
        <w:rPr>
          <w:sz w:val="20"/>
          <w:szCs w:val="28"/>
        </w:rPr>
        <w:t xml:space="preserve"> amendments to the existing controls would be required to ensure the continued use of the subject site by the ETU. The subject site is currently within the General Residential Zone (GRZ) which prohibits the existing Office use of the subject site. This restricts the potential future uses that can occur at the site resulting in an unreasonable burden on the developmental potential of the subject site. </w:t>
      </w:r>
    </w:p>
    <w:p w14:paraId="35170D67" w14:textId="77777777" w:rsidR="0094066C" w:rsidRPr="0017462C" w:rsidRDefault="0094066C" w:rsidP="00833745">
      <w:pPr>
        <w:spacing w:before="120" w:line="280" w:lineRule="atLeast"/>
        <w:jc w:val="both"/>
        <w:rPr>
          <w:sz w:val="20"/>
          <w:szCs w:val="28"/>
        </w:rPr>
      </w:pPr>
    </w:p>
    <w:p w14:paraId="5069FA17" w14:textId="77777777" w:rsidR="0094066C" w:rsidRPr="0017462C" w:rsidRDefault="0094066C" w:rsidP="00833745">
      <w:pPr>
        <w:spacing w:before="120" w:line="280" w:lineRule="atLeast"/>
        <w:jc w:val="both"/>
        <w:rPr>
          <w:sz w:val="20"/>
          <w:szCs w:val="28"/>
        </w:rPr>
      </w:pPr>
      <w:r w:rsidRPr="0017462C">
        <w:rPr>
          <w:sz w:val="20"/>
          <w:szCs w:val="28"/>
        </w:rPr>
        <w:t xml:space="preserve">The ETU will require additional floor space to respond to a demand for further training facilities at the subject site. Amending the zone to reflect the existing and historical use of the site would provide an improved level of certainty regarding the ongoing use of the site and enable the ETU to effectively plan for the future expansion of existing office and training facilities. Furthermore, the GRZ does not provide a height limit for non-residential buildings and therefore does not provide a clear guide for the preferred height of new buildings in this area of North Melbourne. </w:t>
      </w:r>
    </w:p>
    <w:p w14:paraId="0CAC1DC0" w14:textId="77777777" w:rsidR="0094066C" w:rsidRPr="0017462C" w:rsidRDefault="0094066C" w:rsidP="00833745">
      <w:pPr>
        <w:spacing w:before="120" w:line="280" w:lineRule="atLeast"/>
        <w:jc w:val="both"/>
        <w:rPr>
          <w:sz w:val="20"/>
          <w:szCs w:val="28"/>
        </w:rPr>
      </w:pPr>
    </w:p>
    <w:p w14:paraId="41FDF69D" w14:textId="04DE0D8F" w:rsidR="0094066C" w:rsidRPr="0017462C" w:rsidRDefault="0094066C" w:rsidP="00833745">
      <w:pPr>
        <w:spacing w:before="120" w:line="280" w:lineRule="atLeast"/>
        <w:jc w:val="both"/>
        <w:rPr>
          <w:sz w:val="20"/>
          <w:szCs w:val="28"/>
        </w:rPr>
      </w:pPr>
      <w:r w:rsidRPr="0017462C">
        <w:rPr>
          <w:sz w:val="20"/>
          <w:szCs w:val="28"/>
        </w:rPr>
        <w:t xml:space="preserve">As discussed above, amendments are required to ensure the planning controls impacting the subject site reflect the existing uses </w:t>
      </w:r>
      <w:r w:rsidR="003C2C0A" w:rsidRPr="0017462C">
        <w:rPr>
          <w:sz w:val="20"/>
          <w:szCs w:val="28"/>
        </w:rPr>
        <w:t xml:space="preserve">and </w:t>
      </w:r>
      <w:r w:rsidRPr="0017462C">
        <w:rPr>
          <w:sz w:val="20"/>
          <w:szCs w:val="28"/>
        </w:rPr>
        <w:t>can be effectively used to guide the preferred character of this area of North Melbourne. Specifically, the amendments will:</w:t>
      </w:r>
    </w:p>
    <w:p w14:paraId="46EAB0CA" w14:textId="77777777" w:rsidR="0094066C" w:rsidRPr="0017462C" w:rsidRDefault="0094066C" w:rsidP="00833745">
      <w:pPr>
        <w:pStyle w:val="ESNumberedBullet1"/>
        <w:spacing w:before="120" w:line="280" w:lineRule="atLeast"/>
        <w:rPr>
          <w:sz w:val="20"/>
          <w:szCs w:val="28"/>
        </w:rPr>
      </w:pPr>
      <w:r w:rsidRPr="0017462C">
        <w:rPr>
          <w:sz w:val="20"/>
          <w:szCs w:val="28"/>
        </w:rPr>
        <w:t>Rezone the site from the General Residential Zone (GRZ) to the Mixed-Use Zone (MUZ)</w:t>
      </w:r>
    </w:p>
    <w:p w14:paraId="348D015C" w14:textId="77777777" w:rsidR="0094066C" w:rsidRPr="0017462C" w:rsidRDefault="0094066C" w:rsidP="00833745">
      <w:pPr>
        <w:pStyle w:val="ESNumberedBullet1"/>
        <w:spacing w:before="120" w:line="280" w:lineRule="atLeast"/>
        <w:rPr>
          <w:sz w:val="20"/>
          <w:szCs w:val="28"/>
        </w:rPr>
      </w:pPr>
      <w:r w:rsidRPr="0017462C">
        <w:rPr>
          <w:sz w:val="20"/>
          <w:szCs w:val="28"/>
        </w:rPr>
        <w:t>Apply the Design and Development Overlay (DDO) to 200 Arden Street. Schedule 84 of the DDO will cover the entire site.</w:t>
      </w:r>
    </w:p>
    <w:p w14:paraId="04770FDC" w14:textId="628DDE34" w:rsidR="0094066C" w:rsidRPr="0017462C" w:rsidRDefault="00770C54" w:rsidP="0017462C">
      <w:pPr>
        <w:spacing w:before="120" w:afterLines="120" w:after="288"/>
        <w:rPr>
          <w:sz w:val="20"/>
          <w:szCs w:val="28"/>
        </w:rPr>
      </w:pPr>
      <w:r w:rsidRPr="0017462C">
        <w:rPr>
          <w:sz w:val="20"/>
          <w:szCs w:val="28"/>
        </w:rPr>
        <w:t xml:space="preserve">An assessment of the </w:t>
      </w:r>
      <w:r w:rsidR="0094066C" w:rsidRPr="0017462C">
        <w:rPr>
          <w:sz w:val="20"/>
          <w:szCs w:val="28"/>
        </w:rPr>
        <w:t xml:space="preserve">proposed amendment </w:t>
      </w:r>
      <w:r w:rsidRPr="0017462C">
        <w:rPr>
          <w:sz w:val="20"/>
          <w:szCs w:val="28"/>
        </w:rPr>
        <w:t xml:space="preserve">is </w:t>
      </w:r>
      <w:r w:rsidR="002650D4" w:rsidRPr="0017462C">
        <w:rPr>
          <w:sz w:val="20"/>
          <w:szCs w:val="28"/>
        </w:rPr>
        <w:t>provided in</w:t>
      </w:r>
      <w:r w:rsidR="00177460" w:rsidRPr="0017462C">
        <w:rPr>
          <w:sz w:val="20"/>
          <w:szCs w:val="28"/>
        </w:rPr>
        <w:t xml:space="preserve"> Section 5.</w:t>
      </w:r>
      <w:r w:rsidR="0094066C" w:rsidRPr="0017462C">
        <w:rPr>
          <w:sz w:val="20"/>
          <w:szCs w:val="28"/>
        </w:rPr>
        <w:t xml:space="preserve"> </w:t>
      </w:r>
    </w:p>
    <w:p w14:paraId="34B6682C" w14:textId="6190E815" w:rsidR="00A74AC6" w:rsidRPr="00727B93" w:rsidRDefault="00A74AC6">
      <w:pPr>
        <w:spacing w:line="259" w:lineRule="auto"/>
        <w:contextualSpacing w:val="0"/>
      </w:pPr>
      <w:bookmarkStart w:id="64" w:name="_Toc103201861"/>
      <w:bookmarkEnd w:id="34"/>
      <w:r>
        <w:br w:type="page"/>
      </w:r>
    </w:p>
    <w:p w14:paraId="12F0C45E" w14:textId="1500DBA6" w:rsidR="00177460" w:rsidRDefault="00177460" w:rsidP="00440C9E">
      <w:pPr>
        <w:pStyle w:val="Heading1"/>
      </w:pPr>
      <w:bookmarkStart w:id="65" w:name="_Toc152146941"/>
      <w:bookmarkStart w:id="66" w:name="_Toc103201878"/>
      <w:bookmarkEnd w:id="64"/>
      <w:r>
        <w:lastRenderedPageBreak/>
        <w:t>Planning Assessment</w:t>
      </w:r>
      <w:bookmarkEnd w:id="65"/>
      <w:r>
        <w:t xml:space="preserve"> </w:t>
      </w:r>
    </w:p>
    <w:p w14:paraId="2D7FBE62" w14:textId="77777777" w:rsidR="00177460" w:rsidRPr="00F60DCF" w:rsidRDefault="00177460" w:rsidP="00004416">
      <w:pPr>
        <w:pStyle w:val="Heading2"/>
      </w:pPr>
      <w:bookmarkStart w:id="67" w:name="_Toc152146942"/>
      <w:r w:rsidRPr="00CC03E8">
        <w:t>Rezoning the site from the General Residential Zone (GRZ) to the Mixed-Use Zone (MUZ)</w:t>
      </w:r>
      <w:bookmarkEnd w:id="67"/>
    </w:p>
    <w:p w14:paraId="18B78986" w14:textId="403018E1" w:rsidR="00177460" w:rsidRPr="0017462C" w:rsidRDefault="00177460" w:rsidP="00833745">
      <w:pPr>
        <w:spacing w:before="120" w:line="280" w:lineRule="atLeast"/>
        <w:jc w:val="both"/>
        <w:rPr>
          <w:sz w:val="20"/>
          <w:szCs w:val="28"/>
        </w:rPr>
      </w:pPr>
      <w:r w:rsidRPr="0017462C">
        <w:rPr>
          <w:sz w:val="20"/>
          <w:szCs w:val="28"/>
        </w:rPr>
        <w:t>The subject site is currently within the General Residential Zone (GRZ) – Schedule 1</w:t>
      </w:r>
      <w:r w:rsidR="00D00D2E" w:rsidRPr="0017462C">
        <w:rPr>
          <w:sz w:val="20"/>
          <w:szCs w:val="28"/>
        </w:rPr>
        <w:t>. T</w:t>
      </w:r>
      <w:r w:rsidRPr="0017462C">
        <w:rPr>
          <w:sz w:val="20"/>
          <w:szCs w:val="28"/>
        </w:rPr>
        <w:t xml:space="preserve">he </w:t>
      </w:r>
      <w:r w:rsidR="00D00D2E" w:rsidRPr="0017462C">
        <w:rPr>
          <w:sz w:val="20"/>
          <w:szCs w:val="28"/>
        </w:rPr>
        <w:t xml:space="preserve">GRZ is also applied to the </w:t>
      </w:r>
      <w:r w:rsidRPr="0017462C">
        <w:rPr>
          <w:sz w:val="20"/>
          <w:szCs w:val="28"/>
        </w:rPr>
        <w:t>residential area north of Arden Street and south of Haines Street. The site’s existing use as Office is prohibited under the GRZ, however, continues to operate under Existing Use Rights in accordance with Clause 63.01. The current GRZ controls place significant limitations on the land uses that can occur at the site and contradict the existing use of the site.</w:t>
      </w:r>
    </w:p>
    <w:p w14:paraId="54239DF0" w14:textId="77777777" w:rsidR="00177460" w:rsidRPr="00833745" w:rsidRDefault="00177460" w:rsidP="00833745">
      <w:pPr>
        <w:spacing w:before="120" w:line="280" w:lineRule="atLeast"/>
        <w:jc w:val="both"/>
        <w:rPr>
          <w:sz w:val="20"/>
          <w:szCs w:val="28"/>
        </w:rPr>
      </w:pPr>
    </w:p>
    <w:p w14:paraId="756EEC3B" w14:textId="7DC0496E" w:rsidR="00177460" w:rsidRPr="0017462C" w:rsidRDefault="00177460" w:rsidP="00833745">
      <w:pPr>
        <w:spacing w:before="120" w:line="280" w:lineRule="atLeast"/>
        <w:jc w:val="both"/>
        <w:rPr>
          <w:sz w:val="20"/>
          <w:szCs w:val="28"/>
        </w:rPr>
      </w:pPr>
      <w:r w:rsidRPr="0017462C">
        <w:rPr>
          <w:sz w:val="20"/>
          <w:szCs w:val="28"/>
        </w:rPr>
        <w:t>The site has not been used for residential purposes at any time. The past and current uses</w:t>
      </w:r>
      <w:r w:rsidR="00CB3495" w:rsidRPr="0017462C">
        <w:rPr>
          <w:sz w:val="20"/>
          <w:szCs w:val="28"/>
        </w:rPr>
        <w:t xml:space="preserve"> conflict</w:t>
      </w:r>
      <w:r w:rsidRPr="0017462C">
        <w:rPr>
          <w:sz w:val="20"/>
          <w:szCs w:val="28"/>
        </w:rPr>
        <w:t xml:space="preserve"> with the GRZ which is currently applied to the site. The GRZ appears to have been applied in a manner than simply incorporated the site into the residential area to the north and east. The application of the GRZ was </w:t>
      </w:r>
      <w:r w:rsidR="003C6719" w:rsidRPr="0017462C">
        <w:rPr>
          <w:sz w:val="20"/>
          <w:szCs w:val="28"/>
        </w:rPr>
        <w:t>inaccurate</w:t>
      </w:r>
      <w:r w:rsidRPr="0017462C">
        <w:rPr>
          <w:sz w:val="20"/>
          <w:szCs w:val="28"/>
        </w:rPr>
        <w:t xml:space="preserve"> having regard to the site’s historic and ongoing commercial use. </w:t>
      </w:r>
    </w:p>
    <w:p w14:paraId="3B6990CA" w14:textId="77777777" w:rsidR="00177460" w:rsidRPr="0017462C" w:rsidRDefault="00177460" w:rsidP="00833745">
      <w:pPr>
        <w:spacing w:before="120" w:line="280" w:lineRule="atLeast"/>
        <w:jc w:val="both"/>
        <w:rPr>
          <w:sz w:val="20"/>
          <w:szCs w:val="28"/>
        </w:rPr>
      </w:pPr>
    </w:p>
    <w:p w14:paraId="0BE3C189" w14:textId="7247C977" w:rsidR="00BC118B" w:rsidRPr="0017462C" w:rsidRDefault="00177460" w:rsidP="00833745">
      <w:pPr>
        <w:spacing w:before="120" w:line="280" w:lineRule="atLeast"/>
        <w:jc w:val="both"/>
        <w:rPr>
          <w:sz w:val="20"/>
          <w:szCs w:val="28"/>
        </w:rPr>
      </w:pPr>
      <w:r w:rsidRPr="0017462C">
        <w:rPr>
          <w:sz w:val="20"/>
          <w:szCs w:val="28"/>
        </w:rPr>
        <w:t xml:space="preserve">The ETU </w:t>
      </w:r>
      <w:r w:rsidR="00D00D2E" w:rsidRPr="0017462C">
        <w:rPr>
          <w:sz w:val="20"/>
          <w:szCs w:val="28"/>
        </w:rPr>
        <w:t>wishes to remain at the site in the long term and continue to provide training and support services at the site. These services are provided to ETU members and their families in addition to local community outreach</w:t>
      </w:r>
      <w:r w:rsidRPr="0017462C">
        <w:rPr>
          <w:sz w:val="20"/>
          <w:szCs w:val="28"/>
        </w:rPr>
        <w:t xml:space="preserve">. Although permitted within the GRZ, the use of </w:t>
      </w:r>
      <w:r w:rsidR="003C2C0A" w:rsidRPr="0017462C">
        <w:rPr>
          <w:sz w:val="20"/>
          <w:szCs w:val="28"/>
        </w:rPr>
        <w:t xml:space="preserve">an </w:t>
      </w:r>
      <w:r w:rsidRPr="0017462C">
        <w:rPr>
          <w:sz w:val="20"/>
          <w:szCs w:val="28"/>
        </w:rPr>
        <w:t xml:space="preserve">Education centre </w:t>
      </w:r>
      <w:r w:rsidR="003C2C0A" w:rsidRPr="0017462C">
        <w:rPr>
          <w:sz w:val="20"/>
          <w:szCs w:val="28"/>
        </w:rPr>
        <w:t>or</w:t>
      </w:r>
      <w:r w:rsidRPr="0017462C">
        <w:rPr>
          <w:sz w:val="20"/>
          <w:szCs w:val="28"/>
        </w:rPr>
        <w:t xml:space="preserve"> Place of assembly are limited by the Purpose of the GRZ and local policy to those that ‘serve the local community </w:t>
      </w:r>
      <w:r w:rsidR="00BC118B" w:rsidRPr="0017462C">
        <w:rPr>
          <w:sz w:val="20"/>
          <w:szCs w:val="28"/>
        </w:rPr>
        <w:t>needs</w:t>
      </w:r>
      <w:r w:rsidRPr="0017462C">
        <w:rPr>
          <w:sz w:val="20"/>
          <w:szCs w:val="28"/>
        </w:rPr>
        <w:t>.</w:t>
      </w:r>
      <w:r w:rsidR="00BC118B" w:rsidRPr="0017462C">
        <w:rPr>
          <w:sz w:val="20"/>
          <w:szCs w:val="28"/>
        </w:rPr>
        <w:t>’</w:t>
      </w:r>
      <w:r w:rsidRPr="0017462C">
        <w:rPr>
          <w:sz w:val="20"/>
          <w:szCs w:val="28"/>
        </w:rPr>
        <w:t xml:space="preserve"> </w:t>
      </w:r>
      <w:r w:rsidR="00D00D2E" w:rsidRPr="0017462C">
        <w:rPr>
          <w:sz w:val="20"/>
          <w:szCs w:val="28"/>
        </w:rPr>
        <w:t xml:space="preserve">The application of the GRZ unnecessarily limits the ongoing use of the site for the current purpose and places an inappropriate burden on the ETU in relation to any future planning permit applications for use and development. </w:t>
      </w:r>
    </w:p>
    <w:p w14:paraId="4254A9E7" w14:textId="078BBD20" w:rsidR="002F79E5" w:rsidRDefault="00D7417E" w:rsidP="002F79E5">
      <w:pPr>
        <w:pStyle w:val="Heading3NoNumbers"/>
      </w:pPr>
      <w:r>
        <w:t>A</w:t>
      </w:r>
      <w:r w:rsidR="002F79E5">
        <w:t>ssessment of the Residential Zones and their suitability</w:t>
      </w:r>
    </w:p>
    <w:p w14:paraId="3C161109" w14:textId="1AF7147D" w:rsidR="00D7417E" w:rsidRPr="00833745" w:rsidRDefault="00D7417E" w:rsidP="00833745">
      <w:pPr>
        <w:spacing w:before="120" w:line="280" w:lineRule="atLeast"/>
        <w:jc w:val="both"/>
        <w:rPr>
          <w:sz w:val="20"/>
          <w:szCs w:val="28"/>
        </w:rPr>
      </w:pPr>
      <w:r w:rsidRPr="0017462C">
        <w:rPr>
          <w:sz w:val="20"/>
          <w:szCs w:val="28"/>
        </w:rPr>
        <w:t xml:space="preserve">The Council and DELWP have both recognised that the General Residential Zone </w:t>
      </w:r>
      <w:r w:rsidR="001D3DD5" w:rsidRPr="0017462C">
        <w:rPr>
          <w:sz w:val="20"/>
          <w:szCs w:val="28"/>
        </w:rPr>
        <w:t>(</w:t>
      </w:r>
      <w:r w:rsidRPr="0017462C">
        <w:rPr>
          <w:sz w:val="20"/>
          <w:szCs w:val="28"/>
        </w:rPr>
        <w:t>GRZ) is inappropriate for the site, and that it clearly does not align with the current, and future land use</w:t>
      </w:r>
      <w:r w:rsidR="001D3DD5" w:rsidRPr="0017462C">
        <w:rPr>
          <w:sz w:val="20"/>
          <w:szCs w:val="28"/>
        </w:rPr>
        <w:t xml:space="preserve">. </w:t>
      </w:r>
      <w:r w:rsidRPr="0017462C">
        <w:rPr>
          <w:sz w:val="20"/>
          <w:szCs w:val="28"/>
        </w:rPr>
        <w:t>As it is widely acknowledged that the GRZ is not appropriate, we have looked to other</w:t>
      </w:r>
      <w:r w:rsidR="001D3DD5" w:rsidRPr="0017462C">
        <w:rPr>
          <w:sz w:val="20"/>
          <w:szCs w:val="28"/>
        </w:rPr>
        <w:t xml:space="preserve"> residential zones</w:t>
      </w:r>
      <w:r w:rsidRPr="0017462C">
        <w:rPr>
          <w:sz w:val="20"/>
          <w:szCs w:val="28"/>
        </w:rPr>
        <w:t xml:space="preserve"> to identify which are considered appropriate.</w:t>
      </w:r>
    </w:p>
    <w:p w14:paraId="0AB72E2C" w14:textId="13D9BE47" w:rsidR="00391274" w:rsidRPr="0017462C" w:rsidRDefault="00C823B2" w:rsidP="00833745">
      <w:pPr>
        <w:spacing w:before="120" w:line="280" w:lineRule="atLeast"/>
        <w:jc w:val="both"/>
        <w:rPr>
          <w:sz w:val="20"/>
          <w:szCs w:val="28"/>
        </w:rPr>
      </w:pPr>
      <w:r w:rsidRPr="0017462C">
        <w:rPr>
          <w:sz w:val="20"/>
          <w:szCs w:val="28"/>
        </w:rPr>
        <w:t>The Residential</w:t>
      </w:r>
      <w:r w:rsidR="00391274" w:rsidRPr="0017462C">
        <w:rPr>
          <w:sz w:val="20"/>
          <w:szCs w:val="28"/>
        </w:rPr>
        <w:t xml:space="preserve"> Growth Zone (RGZ) </w:t>
      </w:r>
      <w:r w:rsidRPr="0017462C">
        <w:rPr>
          <w:sz w:val="20"/>
          <w:szCs w:val="28"/>
        </w:rPr>
        <w:t xml:space="preserve">is </w:t>
      </w:r>
      <w:r w:rsidR="00D7417E" w:rsidRPr="0017462C">
        <w:rPr>
          <w:sz w:val="20"/>
          <w:szCs w:val="28"/>
        </w:rPr>
        <w:t xml:space="preserve">also </w:t>
      </w:r>
      <w:r w:rsidRPr="0017462C">
        <w:rPr>
          <w:sz w:val="20"/>
          <w:szCs w:val="28"/>
        </w:rPr>
        <w:t>not</w:t>
      </w:r>
      <w:r w:rsidR="00391274" w:rsidRPr="0017462C">
        <w:rPr>
          <w:sz w:val="20"/>
          <w:szCs w:val="28"/>
        </w:rPr>
        <w:t xml:space="preserve"> </w:t>
      </w:r>
      <w:r w:rsidR="00D7417E" w:rsidRPr="0017462C">
        <w:rPr>
          <w:sz w:val="20"/>
          <w:szCs w:val="28"/>
        </w:rPr>
        <w:t xml:space="preserve">an </w:t>
      </w:r>
      <w:r w:rsidR="00391274" w:rsidRPr="0017462C">
        <w:rPr>
          <w:sz w:val="20"/>
          <w:szCs w:val="28"/>
        </w:rPr>
        <w:t xml:space="preserve">appropriate </w:t>
      </w:r>
      <w:r w:rsidR="00D7417E" w:rsidRPr="0017462C">
        <w:rPr>
          <w:sz w:val="20"/>
          <w:szCs w:val="28"/>
        </w:rPr>
        <w:t xml:space="preserve">zone for the site </w:t>
      </w:r>
      <w:r w:rsidR="00391274" w:rsidRPr="0017462C">
        <w:rPr>
          <w:sz w:val="20"/>
          <w:szCs w:val="28"/>
        </w:rPr>
        <w:t xml:space="preserve">given that </w:t>
      </w:r>
      <w:r w:rsidRPr="0017462C">
        <w:rPr>
          <w:sz w:val="20"/>
          <w:szCs w:val="28"/>
        </w:rPr>
        <w:t xml:space="preserve">it </w:t>
      </w:r>
      <w:r w:rsidR="00391274" w:rsidRPr="0017462C">
        <w:rPr>
          <w:sz w:val="20"/>
          <w:szCs w:val="28"/>
        </w:rPr>
        <w:t xml:space="preserve">is used for the purposes of identifying significant, future growth for residential land (with other uses being considered ancillary to such land use). </w:t>
      </w:r>
    </w:p>
    <w:p w14:paraId="465A6EB7" w14:textId="45DE40FF" w:rsidR="002F79E5" w:rsidRDefault="002F79E5" w:rsidP="002F79E5">
      <w:pPr>
        <w:pStyle w:val="Heading3NoNumbers"/>
      </w:pPr>
      <w:r>
        <w:t>Assessment of the Commercial Zones and their suitability</w:t>
      </w:r>
    </w:p>
    <w:p w14:paraId="1A12CF46" w14:textId="446CF2C1" w:rsidR="00D7417E" w:rsidRDefault="00391274" w:rsidP="00833745">
      <w:pPr>
        <w:spacing w:before="120" w:line="280" w:lineRule="atLeast"/>
        <w:jc w:val="both"/>
        <w:rPr>
          <w:sz w:val="20"/>
          <w:szCs w:val="28"/>
        </w:rPr>
      </w:pPr>
      <w:r w:rsidRPr="0017462C">
        <w:rPr>
          <w:sz w:val="20"/>
          <w:szCs w:val="28"/>
        </w:rPr>
        <w:t xml:space="preserve">As the building is occupied in its entirety for office floor space, </w:t>
      </w:r>
      <w:r w:rsidR="00D7417E" w:rsidRPr="0017462C">
        <w:rPr>
          <w:sz w:val="20"/>
          <w:szCs w:val="28"/>
        </w:rPr>
        <w:t xml:space="preserve">an assessment of the </w:t>
      </w:r>
      <w:r w:rsidRPr="0017462C">
        <w:rPr>
          <w:sz w:val="20"/>
          <w:szCs w:val="28"/>
        </w:rPr>
        <w:t xml:space="preserve">commercial zones </w:t>
      </w:r>
      <w:r w:rsidR="003109DB" w:rsidRPr="0017462C">
        <w:rPr>
          <w:sz w:val="20"/>
          <w:szCs w:val="28"/>
        </w:rPr>
        <w:t>that</w:t>
      </w:r>
      <w:r w:rsidR="00D7417E" w:rsidRPr="0017462C">
        <w:rPr>
          <w:sz w:val="20"/>
          <w:szCs w:val="28"/>
        </w:rPr>
        <w:t xml:space="preserve"> </w:t>
      </w:r>
      <w:r w:rsidRPr="0017462C">
        <w:rPr>
          <w:sz w:val="20"/>
          <w:szCs w:val="28"/>
        </w:rPr>
        <w:t>could potentially be relevant to the site</w:t>
      </w:r>
      <w:r w:rsidR="00D7417E" w:rsidRPr="0017462C">
        <w:rPr>
          <w:sz w:val="20"/>
          <w:szCs w:val="28"/>
        </w:rPr>
        <w:t xml:space="preserve"> has been undertaken</w:t>
      </w:r>
      <w:r w:rsidRPr="0017462C">
        <w:rPr>
          <w:sz w:val="20"/>
          <w:szCs w:val="28"/>
        </w:rPr>
        <w:t xml:space="preserve">. </w:t>
      </w:r>
    </w:p>
    <w:p w14:paraId="432E54FC" w14:textId="77777777" w:rsidR="00833745" w:rsidRPr="0017462C" w:rsidRDefault="00833745" w:rsidP="00833745">
      <w:pPr>
        <w:spacing w:before="120" w:line="280" w:lineRule="atLeast"/>
        <w:jc w:val="both"/>
        <w:rPr>
          <w:sz w:val="20"/>
          <w:szCs w:val="28"/>
        </w:rPr>
      </w:pPr>
    </w:p>
    <w:p w14:paraId="6AC395D4" w14:textId="5EA66840" w:rsidR="00C823B2" w:rsidRPr="0017462C" w:rsidRDefault="00C823B2" w:rsidP="00833745">
      <w:pPr>
        <w:spacing w:before="120" w:line="280" w:lineRule="atLeast"/>
        <w:jc w:val="both"/>
        <w:rPr>
          <w:sz w:val="20"/>
          <w:szCs w:val="28"/>
        </w:rPr>
      </w:pPr>
      <w:r w:rsidRPr="0017462C">
        <w:rPr>
          <w:sz w:val="20"/>
          <w:szCs w:val="28"/>
        </w:rPr>
        <w:t xml:space="preserve">We do not consider </w:t>
      </w:r>
      <w:r w:rsidR="00391274" w:rsidRPr="0017462C">
        <w:rPr>
          <w:sz w:val="20"/>
          <w:szCs w:val="28"/>
        </w:rPr>
        <w:t>Commercial Zone 1 or 2 would be appropriate zone</w:t>
      </w:r>
      <w:r w:rsidRPr="0017462C">
        <w:rPr>
          <w:sz w:val="20"/>
          <w:szCs w:val="28"/>
        </w:rPr>
        <w:t>s</w:t>
      </w:r>
      <w:r w:rsidR="00391274" w:rsidRPr="0017462C">
        <w:rPr>
          <w:sz w:val="20"/>
          <w:szCs w:val="28"/>
        </w:rPr>
        <w:t xml:space="preserve"> when considered in the immediate and wider context </w:t>
      </w:r>
      <w:r w:rsidRPr="0017462C">
        <w:rPr>
          <w:sz w:val="20"/>
          <w:szCs w:val="28"/>
        </w:rPr>
        <w:t>because:</w:t>
      </w:r>
    </w:p>
    <w:p w14:paraId="3B88CD10" w14:textId="77777777" w:rsidR="00C86C27" w:rsidRPr="0017462C" w:rsidRDefault="00C823B2" w:rsidP="00833745">
      <w:pPr>
        <w:pStyle w:val="ESNumberedBullet1"/>
        <w:spacing w:before="120" w:line="280" w:lineRule="atLeast"/>
        <w:rPr>
          <w:sz w:val="20"/>
          <w:szCs w:val="28"/>
        </w:rPr>
      </w:pPr>
      <w:r w:rsidRPr="0017462C">
        <w:rPr>
          <w:sz w:val="20"/>
          <w:szCs w:val="28"/>
        </w:rPr>
        <w:t xml:space="preserve">The suite of land uses considered acceptable in a Commercial Zone, when compared to the MUZ, are of more potential detriment to residential land uses. Commercial Zones 1 and 2 have lesser restrictions in relation to maximum </w:t>
      </w:r>
      <w:r w:rsidR="002F79E5" w:rsidRPr="0017462C">
        <w:rPr>
          <w:sz w:val="20"/>
          <w:szCs w:val="28"/>
        </w:rPr>
        <w:t>floor space</w:t>
      </w:r>
      <w:r w:rsidRPr="0017462C">
        <w:rPr>
          <w:sz w:val="20"/>
          <w:szCs w:val="28"/>
        </w:rPr>
        <w:t xml:space="preserve"> restrictions, and a wider range of potential use classes that could occupy the site, without the need for a permit. </w:t>
      </w:r>
    </w:p>
    <w:p w14:paraId="5C5C33C3" w14:textId="61040A01" w:rsidR="00540934" w:rsidRPr="0017462C" w:rsidRDefault="00D7417E" w:rsidP="00833745">
      <w:pPr>
        <w:pStyle w:val="ESNumberedBullet1"/>
        <w:spacing w:before="120" w:line="280" w:lineRule="atLeast"/>
        <w:rPr>
          <w:sz w:val="20"/>
          <w:szCs w:val="28"/>
        </w:rPr>
      </w:pPr>
      <w:r w:rsidRPr="0017462C">
        <w:rPr>
          <w:sz w:val="20"/>
          <w:szCs w:val="28"/>
        </w:rPr>
        <w:t>Office (as defined in the nesting diagram) uses are allowed</w:t>
      </w:r>
      <w:r w:rsidR="00C86C27" w:rsidRPr="0017462C">
        <w:rPr>
          <w:sz w:val="20"/>
          <w:szCs w:val="28"/>
        </w:rPr>
        <w:t xml:space="preserve"> within Commercial Zone 1 and 2</w:t>
      </w:r>
      <w:r w:rsidRPr="0017462C">
        <w:rPr>
          <w:sz w:val="20"/>
          <w:szCs w:val="28"/>
        </w:rPr>
        <w:t xml:space="preserve">, without any restrictions or conditions relating to their occupation. This could allow </w:t>
      </w:r>
      <w:r w:rsidR="00C86C27" w:rsidRPr="0017462C">
        <w:rPr>
          <w:sz w:val="20"/>
          <w:szCs w:val="28"/>
        </w:rPr>
        <w:t xml:space="preserve">land </w:t>
      </w:r>
      <w:r w:rsidRPr="0017462C">
        <w:rPr>
          <w:sz w:val="20"/>
          <w:szCs w:val="28"/>
        </w:rPr>
        <w:t xml:space="preserve">uses </w:t>
      </w:r>
      <w:r w:rsidR="003109DB" w:rsidRPr="0017462C">
        <w:rPr>
          <w:sz w:val="20"/>
          <w:szCs w:val="28"/>
        </w:rPr>
        <w:t>that</w:t>
      </w:r>
      <w:r w:rsidR="00C86C27" w:rsidRPr="0017462C">
        <w:rPr>
          <w:sz w:val="20"/>
          <w:szCs w:val="28"/>
        </w:rPr>
        <w:t xml:space="preserve"> could use the site far more intensely by a future owner/occupier (without the requirement for a permit) which could be of potential detriment.</w:t>
      </w:r>
    </w:p>
    <w:p w14:paraId="5C4E8C90" w14:textId="7300A8F1" w:rsidR="00540934" w:rsidRPr="0017462C" w:rsidRDefault="002F79E5" w:rsidP="00833745">
      <w:pPr>
        <w:pStyle w:val="ESNumberedBullet1"/>
        <w:spacing w:before="120" w:line="280" w:lineRule="atLeast"/>
        <w:rPr>
          <w:sz w:val="20"/>
          <w:szCs w:val="28"/>
        </w:rPr>
      </w:pPr>
      <w:r w:rsidRPr="0017462C">
        <w:rPr>
          <w:sz w:val="20"/>
          <w:szCs w:val="28"/>
        </w:rPr>
        <w:lastRenderedPageBreak/>
        <w:t xml:space="preserve">Commercial Zone 2 considers the following land uses a Section 1 use, which do not require a permit subject to compliance with the conditions and </w:t>
      </w:r>
      <w:r w:rsidR="00C86C27" w:rsidRPr="0017462C">
        <w:rPr>
          <w:sz w:val="20"/>
          <w:szCs w:val="28"/>
        </w:rPr>
        <w:t>could be of detriment to the adjoining residential land uses</w:t>
      </w:r>
      <w:r w:rsidRPr="0017462C">
        <w:rPr>
          <w:sz w:val="20"/>
          <w:szCs w:val="28"/>
        </w:rPr>
        <w:t>:</w:t>
      </w:r>
    </w:p>
    <w:p w14:paraId="09AC4979" w14:textId="35DA3A14" w:rsidR="002F79E5" w:rsidRPr="00833745" w:rsidRDefault="00C86C27" w:rsidP="00B229E7">
      <w:pPr>
        <w:pStyle w:val="ESNumberedBullet2"/>
        <w:numPr>
          <w:ilvl w:val="0"/>
          <w:numId w:val="25"/>
        </w:numPr>
        <w:rPr>
          <w:sz w:val="20"/>
          <w:szCs w:val="28"/>
        </w:rPr>
      </w:pPr>
      <w:r w:rsidRPr="00833745">
        <w:rPr>
          <w:sz w:val="20"/>
          <w:szCs w:val="28"/>
        </w:rPr>
        <w:t xml:space="preserve">Industry (other than Materials recycling and Transfer station) </w:t>
      </w:r>
    </w:p>
    <w:p w14:paraId="0FF2EC62" w14:textId="0C834642" w:rsidR="00C86C27" w:rsidRPr="00833745" w:rsidRDefault="00C86C27" w:rsidP="00B229E7">
      <w:pPr>
        <w:pStyle w:val="ESNumberedBullet2"/>
        <w:numPr>
          <w:ilvl w:val="0"/>
          <w:numId w:val="25"/>
        </w:numPr>
        <w:rPr>
          <w:sz w:val="20"/>
          <w:szCs w:val="28"/>
        </w:rPr>
      </w:pPr>
      <w:r w:rsidRPr="00833745">
        <w:rPr>
          <w:sz w:val="20"/>
          <w:szCs w:val="28"/>
        </w:rPr>
        <w:t>Office</w:t>
      </w:r>
    </w:p>
    <w:p w14:paraId="232B0827" w14:textId="53D79C1F" w:rsidR="00C86C27" w:rsidRPr="00833745" w:rsidRDefault="00C86C27" w:rsidP="00B229E7">
      <w:pPr>
        <w:pStyle w:val="ESNumberedBullet2"/>
        <w:numPr>
          <w:ilvl w:val="0"/>
          <w:numId w:val="25"/>
        </w:numPr>
        <w:rPr>
          <w:sz w:val="20"/>
          <w:szCs w:val="28"/>
        </w:rPr>
      </w:pPr>
      <w:r w:rsidRPr="00833745">
        <w:rPr>
          <w:sz w:val="20"/>
          <w:szCs w:val="28"/>
        </w:rPr>
        <w:t>Supermarket</w:t>
      </w:r>
    </w:p>
    <w:p w14:paraId="189AF98F" w14:textId="1CA5F89E" w:rsidR="002F79E5" w:rsidRPr="00833745" w:rsidRDefault="00C86C27" w:rsidP="00B229E7">
      <w:pPr>
        <w:pStyle w:val="ESNumberedBullet2"/>
        <w:numPr>
          <w:ilvl w:val="0"/>
          <w:numId w:val="25"/>
        </w:numPr>
        <w:rPr>
          <w:sz w:val="20"/>
          <w:szCs w:val="28"/>
        </w:rPr>
      </w:pPr>
      <w:r w:rsidRPr="00833745">
        <w:rPr>
          <w:sz w:val="20"/>
          <w:szCs w:val="28"/>
        </w:rPr>
        <w:t>Warehouse (other than Mail Centre)</w:t>
      </w:r>
    </w:p>
    <w:p w14:paraId="26C6F449" w14:textId="6C9BE8B6" w:rsidR="00C86C27" w:rsidRPr="0017462C" w:rsidRDefault="00C823B2" w:rsidP="00833745">
      <w:pPr>
        <w:pStyle w:val="ESNumberedBullet1"/>
        <w:spacing w:before="120" w:line="280" w:lineRule="atLeast"/>
        <w:rPr>
          <w:sz w:val="20"/>
          <w:szCs w:val="28"/>
        </w:rPr>
      </w:pPr>
      <w:r w:rsidRPr="0017462C">
        <w:rPr>
          <w:sz w:val="20"/>
          <w:szCs w:val="28"/>
        </w:rPr>
        <w:t xml:space="preserve">A Commercial Zone would be entirely outside of the Residential Zoning suite of zones. This would be a more drastic change and would allow </w:t>
      </w:r>
      <w:r w:rsidR="00BC118B" w:rsidRPr="0017462C">
        <w:rPr>
          <w:sz w:val="20"/>
          <w:szCs w:val="28"/>
        </w:rPr>
        <w:t xml:space="preserve">a </w:t>
      </w:r>
      <w:r w:rsidRPr="0017462C">
        <w:rPr>
          <w:sz w:val="20"/>
          <w:szCs w:val="28"/>
        </w:rPr>
        <w:t xml:space="preserve">land use that </w:t>
      </w:r>
      <w:r w:rsidR="00BC118B" w:rsidRPr="0017462C">
        <w:rPr>
          <w:sz w:val="20"/>
          <w:szCs w:val="28"/>
        </w:rPr>
        <w:t xml:space="preserve">is considered to conflict with much of the surrounding residential context. </w:t>
      </w:r>
    </w:p>
    <w:p w14:paraId="3A63CCB3" w14:textId="599890B6" w:rsidR="00BC118B" w:rsidRPr="0017462C" w:rsidRDefault="00C823B2" w:rsidP="00833745">
      <w:pPr>
        <w:pStyle w:val="ESNumberedBullet1"/>
        <w:spacing w:before="120" w:line="280" w:lineRule="atLeast"/>
        <w:rPr>
          <w:sz w:val="20"/>
          <w:szCs w:val="28"/>
        </w:rPr>
      </w:pPr>
      <w:r w:rsidRPr="0017462C">
        <w:rPr>
          <w:sz w:val="20"/>
          <w:szCs w:val="28"/>
        </w:rPr>
        <w:t>While ETU operate an office space, they are not a</w:t>
      </w:r>
      <w:r w:rsidR="002F79E5" w:rsidRPr="0017462C">
        <w:rPr>
          <w:sz w:val="20"/>
          <w:szCs w:val="28"/>
        </w:rPr>
        <w:t xml:space="preserve"> </w:t>
      </w:r>
      <w:r w:rsidR="005051BD" w:rsidRPr="0017462C">
        <w:rPr>
          <w:sz w:val="20"/>
          <w:szCs w:val="28"/>
        </w:rPr>
        <w:t>standard</w:t>
      </w:r>
      <w:r w:rsidR="002F79E5" w:rsidRPr="0017462C">
        <w:rPr>
          <w:sz w:val="20"/>
          <w:szCs w:val="28"/>
        </w:rPr>
        <w:t xml:space="preserve"> </w:t>
      </w:r>
      <w:r w:rsidRPr="0017462C">
        <w:rPr>
          <w:sz w:val="20"/>
          <w:szCs w:val="28"/>
        </w:rPr>
        <w:t xml:space="preserve">‘commercial use’. The type of use is not akin to the typical land uses that are recognised within the Commercial </w:t>
      </w:r>
      <w:r w:rsidR="003C2C0A" w:rsidRPr="0017462C">
        <w:rPr>
          <w:sz w:val="20"/>
          <w:szCs w:val="28"/>
        </w:rPr>
        <w:t>Zone and</w:t>
      </w:r>
      <w:r w:rsidR="00BC118B" w:rsidRPr="0017462C">
        <w:rPr>
          <w:sz w:val="20"/>
          <w:szCs w:val="28"/>
        </w:rPr>
        <w:t xml:space="preserve"> would not be an accurate representation of the land use.</w:t>
      </w:r>
    </w:p>
    <w:p w14:paraId="416524D0" w14:textId="4644E1F9" w:rsidR="00BC118B" w:rsidRDefault="002F79E5" w:rsidP="002F79E5">
      <w:pPr>
        <w:pStyle w:val="Heading3NoNumbers"/>
      </w:pPr>
      <w:r>
        <w:t>Assessment of the Special Use Zones and their suitability</w:t>
      </w:r>
    </w:p>
    <w:p w14:paraId="058492A4" w14:textId="77777777" w:rsidR="00AE73C9" w:rsidRPr="0017462C" w:rsidRDefault="001114BA" w:rsidP="00833745">
      <w:pPr>
        <w:spacing w:before="120" w:line="280" w:lineRule="atLeast"/>
        <w:jc w:val="both"/>
        <w:rPr>
          <w:sz w:val="20"/>
          <w:szCs w:val="28"/>
        </w:rPr>
      </w:pPr>
      <w:r w:rsidRPr="0017462C">
        <w:rPr>
          <w:sz w:val="20"/>
          <w:szCs w:val="28"/>
        </w:rPr>
        <w:t xml:space="preserve">A </w:t>
      </w:r>
      <w:r w:rsidR="0094705F" w:rsidRPr="0017462C">
        <w:rPr>
          <w:sz w:val="20"/>
          <w:szCs w:val="28"/>
        </w:rPr>
        <w:t>S</w:t>
      </w:r>
      <w:r w:rsidRPr="0017462C">
        <w:rPr>
          <w:sz w:val="20"/>
          <w:szCs w:val="28"/>
        </w:rPr>
        <w:t xml:space="preserve">pecial </w:t>
      </w:r>
      <w:r w:rsidR="0094705F" w:rsidRPr="0017462C">
        <w:rPr>
          <w:sz w:val="20"/>
          <w:szCs w:val="28"/>
        </w:rPr>
        <w:t>U</w:t>
      </w:r>
      <w:r w:rsidRPr="0017462C">
        <w:rPr>
          <w:sz w:val="20"/>
          <w:szCs w:val="28"/>
        </w:rPr>
        <w:t>se</w:t>
      </w:r>
      <w:r w:rsidR="0094705F" w:rsidRPr="0017462C">
        <w:rPr>
          <w:sz w:val="20"/>
          <w:szCs w:val="28"/>
        </w:rPr>
        <w:t xml:space="preserve"> Z</w:t>
      </w:r>
      <w:r w:rsidRPr="0017462C">
        <w:rPr>
          <w:sz w:val="20"/>
          <w:szCs w:val="28"/>
        </w:rPr>
        <w:t xml:space="preserve">one </w:t>
      </w:r>
      <w:r w:rsidR="0094705F" w:rsidRPr="0017462C">
        <w:rPr>
          <w:sz w:val="20"/>
          <w:szCs w:val="28"/>
        </w:rPr>
        <w:t xml:space="preserve">(SUZ) </w:t>
      </w:r>
      <w:r w:rsidRPr="0017462C">
        <w:rPr>
          <w:sz w:val="20"/>
          <w:szCs w:val="28"/>
        </w:rPr>
        <w:t xml:space="preserve">should only be applied </w:t>
      </w:r>
      <w:r w:rsidR="00A007B6" w:rsidRPr="0017462C">
        <w:rPr>
          <w:sz w:val="20"/>
          <w:szCs w:val="28"/>
        </w:rPr>
        <w:t>where</w:t>
      </w:r>
      <w:r w:rsidRPr="0017462C">
        <w:rPr>
          <w:sz w:val="20"/>
          <w:szCs w:val="28"/>
        </w:rPr>
        <w:t xml:space="preserve"> the strategic intent of a site is not known, or the combinations of </w:t>
      </w:r>
      <w:r w:rsidR="002F79E5" w:rsidRPr="0017462C">
        <w:rPr>
          <w:sz w:val="20"/>
          <w:szCs w:val="28"/>
        </w:rPr>
        <w:t>statutory</w:t>
      </w:r>
      <w:r w:rsidRPr="0017462C">
        <w:rPr>
          <w:sz w:val="20"/>
          <w:szCs w:val="28"/>
        </w:rPr>
        <w:t xml:space="preserve"> planning controls (i.e., zones, </w:t>
      </w:r>
      <w:r w:rsidR="003C2C0A" w:rsidRPr="0017462C">
        <w:rPr>
          <w:sz w:val="20"/>
          <w:szCs w:val="28"/>
        </w:rPr>
        <w:t>overlays,</w:t>
      </w:r>
      <w:r w:rsidRPr="0017462C">
        <w:rPr>
          <w:sz w:val="20"/>
          <w:szCs w:val="28"/>
        </w:rPr>
        <w:t xml:space="preserve"> and policies) are unable to ensure the </w:t>
      </w:r>
      <w:r w:rsidR="00A007B6" w:rsidRPr="0017462C">
        <w:rPr>
          <w:sz w:val="20"/>
          <w:szCs w:val="28"/>
        </w:rPr>
        <w:t>desired</w:t>
      </w:r>
      <w:r w:rsidRPr="0017462C">
        <w:rPr>
          <w:sz w:val="20"/>
          <w:szCs w:val="28"/>
        </w:rPr>
        <w:t xml:space="preserve"> outcomes. Special Use Zones should only be used where there is clearly no suitable alternative. </w:t>
      </w:r>
    </w:p>
    <w:p w14:paraId="60F8F942" w14:textId="77777777" w:rsidR="00AE73C9" w:rsidRPr="0017462C" w:rsidRDefault="00AE73C9" w:rsidP="00833745">
      <w:pPr>
        <w:spacing w:before="120" w:line="280" w:lineRule="atLeast"/>
        <w:jc w:val="both"/>
        <w:rPr>
          <w:sz w:val="20"/>
          <w:szCs w:val="28"/>
        </w:rPr>
      </w:pPr>
    </w:p>
    <w:p w14:paraId="343F62D5" w14:textId="62C2A9CD" w:rsidR="00AA1898" w:rsidRPr="0017462C" w:rsidRDefault="001114BA" w:rsidP="00833745">
      <w:pPr>
        <w:spacing w:before="120" w:line="280" w:lineRule="atLeast"/>
        <w:jc w:val="both"/>
        <w:rPr>
          <w:sz w:val="20"/>
          <w:szCs w:val="28"/>
        </w:rPr>
      </w:pPr>
      <w:r w:rsidRPr="0017462C">
        <w:rPr>
          <w:sz w:val="20"/>
          <w:szCs w:val="28"/>
        </w:rPr>
        <w:t xml:space="preserve">Given the </w:t>
      </w:r>
      <w:r w:rsidR="0094705F" w:rsidRPr="0017462C">
        <w:rPr>
          <w:sz w:val="20"/>
          <w:szCs w:val="28"/>
        </w:rPr>
        <w:t xml:space="preserve">relevancy of the MUZ and its suitability for the site and surrounding context, a SUZ is not considered </w:t>
      </w:r>
      <w:r w:rsidR="00A007B6" w:rsidRPr="0017462C">
        <w:rPr>
          <w:sz w:val="20"/>
          <w:szCs w:val="28"/>
        </w:rPr>
        <w:t>an appropriate zone for the site</w:t>
      </w:r>
      <w:r w:rsidR="0094705F" w:rsidRPr="0017462C">
        <w:rPr>
          <w:sz w:val="20"/>
          <w:szCs w:val="28"/>
        </w:rPr>
        <w:t xml:space="preserve">. </w:t>
      </w:r>
    </w:p>
    <w:p w14:paraId="228FB8D4" w14:textId="2467DCBE" w:rsidR="003C6719" w:rsidRDefault="003C6719" w:rsidP="003C6719">
      <w:pPr>
        <w:pStyle w:val="Heading3NoNumbers"/>
      </w:pPr>
      <w:r>
        <w:t>Assessment of the Mixed Use Zones and their suitability</w:t>
      </w:r>
    </w:p>
    <w:p w14:paraId="1B6D675B" w14:textId="1615EBD3" w:rsidR="003C6719" w:rsidRPr="0017462C" w:rsidRDefault="003C6719" w:rsidP="00833745">
      <w:pPr>
        <w:spacing w:before="120" w:line="280" w:lineRule="atLeast"/>
        <w:jc w:val="both"/>
        <w:rPr>
          <w:sz w:val="20"/>
          <w:szCs w:val="28"/>
        </w:rPr>
      </w:pPr>
      <w:r w:rsidRPr="0017462C">
        <w:rPr>
          <w:sz w:val="20"/>
          <w:szCs w:val="28"/>
        </w:rPr>
        <w:t xml:space="preserve">A </w:t>
      </w:r>
      <w:proofErr w:type="gramStart"/>
      <w:r w:rsidRPr="0017462C">
        <w:rPr>
          <w:sz w:val="20"/>
          <w:szCs w:val="28"/>
        </w:rPr>
        <w:t>Mixed Use</w:t>
      </w:r>
      <w:proofErr w:type="gramEnd"/>
      <w:r w:rsidRPr="0017462C">
        <w:rPr>
          <w:sz w:val="20"/>
          <w:szCs w:val="28"/>
        </w:rPr>
        <w:t xml:space="preserve"> Zone (MUZ) is the most appropriate zoning for the site as it is it provides a greater suite of land uses that are still considered suitable in a residential context. </w:t>
      </w:r>
    </w:p>
    <w:p w14:paraId="0693E8A2" w14:textId="171DB83F" w:rsidR="003C6719" w:rsidRPr="0017462C" w:rsidRDefault="003C6719" w:rsidP="00833745">
      <w:pPr>
        <w:spacing w:before="120" w:line="280" w:lineRule="atLeast"/>
        <w:jc w:val="both"/>
        <w:rPr>
          <w:sz w:val="20"/>
          <w:szCs w:val="28"/>
        </w:rPr>
      </w:pPr>
      <w:r w:rsidRPr="0017462C">
        <w:rPr>
          <w:sz w:val="20"/>
          <w:szCs w:val="28"/>
        </w:rPr>
        <w:t>The MUZ is the most appropriate zone given that it:</w:t>
      </w:r>
      <w:r w:rsidRPr="00833745">
        <w:rPr>
          <w:sz w:val="20"/>
          <w:szCs w:val="28"/>
        </w:rPr>
        <w:t xml:space="preserve"> </w:t>
      </w:r>
    </w:p>
    <w:p w14:paraId="73504B8A" w14:textId="77777777" w:rsidR="003C6719" w:rsidRPr="0017462C" w:rsidRDefault="003C6719" w:rsidP="00833745">
      <w:pPr>
        <w:pStyle w:val="ESNumberedBullet1"/>
        <w:spacing w:before="120" w:line="280" w:lineRule="atLeast"/>
        <w:rPr>
          <w:sz w:val="20"/>
          <w:szCs w:val="28"/>
        </w:rPr>
      </w:pPr>
      <w:r w:rsidRPr="0017462C">
        <w:rPr>
          <w:sz w:val="20"/>
          <w:szCs w:val="28"/>
        </w:rPr>
        <w:t>Aligns with much of the surrounding context, noting that the adjacent site is largely within the MUZ.</w:t>
      </w:r>
    </w:p>
    <w:p w14:paraId="3D518574" w14:textId="77777777" w:rsidR="003C6719" w:rsidRPr="0017462C" w:rsidRDefault="003C6719" w:rsidP="00833745">
      <w:pPr>
        <w:pStyle w:val="ESNumberedBullet1"/>
        <w:spacing w:before="120" w:line="280" w:lineRule="atLeast"/>
        <w:rPr>
          <w:sz w:val="20"/>
          <w:szCs w:val="28"/>
        </w:rPr>
      </w:pPr>
      <w:r w:rsidRPr="0017462C">
        <w:rPr>
          <w:sz w:val="20"/>
          <w:szCs w:val="28"/>
        </w:rPr>
        <w:t>Is a transitionary Zone that allows for alternative uses which do not fall within the GRZ, but are considered compatible with residential land uses, and the GRZ more generally.</w:t>
      </w:r>
    </w:p>
    <w:p w14:paraId="0198258F" w14:textId="77777777" w:rsidR="003C6719" w:rsidRPr="0017462C" w:rsidRDefault="003C6719" w:rsidP="00833745">
      <w:pPr>
        <w:pStyle w:val="ESNumberedBullet1"/>
        <w:spacing w:before="120" w:line="280" w:lineRule="atLeast"/>
        <w:rPr>
          <w:sz w:val="20"/>
          <w:szCs w:val="28"/>
        </w:rPr>
      </w:pPr>
      <w:r w:rsidRPr="0017462C">
        <w:rPr>
          <w:sz w:val="20"/>
          <w:szCs w:val="28"/>
        </w:rPr>
        <w:t>Only allows up to 250sqm of office-floorspace without a permit. Anything above 250sqm would trigger the requirement for a permit. This safeguards residential amenities and ensures that the building cannot be occupied by a more intensive occupier until an appropriate assessment has been made.</w:t>
      </w:r>
    </w:p>
    <w:p w14:paraId="353BB133" w14:textId="77777777" w:rsidR="00833745" w:rsidRDefault="003C6719" w:rsidP="00457265">
      <w:pPr>
        <w:pStyle w:val="ESNumberedBullet1"/>
        <w:spacing w:before="120" w:line="280" w:lineRule="atLeast"/>
        <w:rPr>
          <w:sz w:val="20"/>
          <w:szCs w:val="28"/>
        </w:rPr>
      </w:pPr>
      <w:r w:rsidRPr="00833745">
        <w:rPr>
          <w:sz w:val="20"/>
          <w:szCs w:val="28"/>
        </w:rPr>
        <w:t>Ensures flexibility for the site, while also ensuring that the flexibilities are appropriate and will lead to a sound planning outcome, in that all the potential land uses are considered compatible with the GRZ and the MUZ which surround the site.</w:t>
      </w:r>
    </w:p>
    <w:p w14:paraId="1B6AA0F5" w14:textId="40513AE0" w:rsidR="003C6719" w:rsidRPr="00833745" w:rsidRDefault="003C6719" w:rsidP="00833745">
      <w:pPr>
        <w:pStyle w:val="ESNumberedBullet1"/>
        <w:spacing w:before="120" w:line="280" w:lineRule="atLeast"/>
        <w:rPr>
          <w:sz w:val="20"/>
          <w:szCs w:val="28"/>
        </w:rPr>
      </w:pPr>
      <w:r w:rsidRPr="00833745">
        <w:rPr>
          <w:sz w:val="20"/>
          <w:szCs w:val="28"/>
        </w:rPr>
        <w:t>Is a more accurate reflection of the ETU’s land use, given that much of their operations are community outreach, engagement, and support.</w:t>
      </w:r>
    </w:p>
    <w:p w14:paraId="64ADA3CE" w14:textId="1979D57E" w:rsidR="003C6719" w:rsidRPr="0017462C" w:rsidRDefault="003C6719" w:rsidP="00833745">
      <w:pPr>
        <w:pStyle w:val="ESNumberedBullet1"/>
        <w:spacing w:before="120" w:line="280" w:lineRule="atLeast"/>
        <w:rPr>
          <w:sz w:val="20"/>
          <w:szCs w:val="28"/>
        </w:rPr>
      </w:pPr>
      <w:r w:rsidRPr="0017462C">
        <w:rPr>
          <w:sz w:val="20"/>
          <w:szCs w:val="28"/>
        </w:rPr>
        <w:t xml:space="preserve">We note that there are several uses (e.g., industry, retail, and place of assembly) which are Category 2 uses within the MUZ, and so will require a permit should such uses be proposed. Council will be able to ensure that the potential uses are assessed, to understand their potential impact on residential amenity if there are concerns.  </w:t>
      </w:r>
      <w:r w:rsidRPr="0017462C">
        <w:rPr>
          <w:sz w:val="20"/>
          <w:szCs w:val="28"/>
        </w:rPr>
        <w:br/>
      </w:r>
    </w:p>
    <w:p w14:paraId="5152A49F" w14:textId="4AAF7D3C" w:rsidR="003C6719" w:rsidRPr="0017462C" w:rsidRDefault="003C6719" w:rsidP="00833745">
      <w:pPr>
        <w:pStyle w:val="ESNumberedBullet1"/>
        <w:spacing w:before="120" w:line="280" w:lineRule="atLeast"/>
        <w:rPr>
          <w:sz w:val="20"/>
          <w:szCs w:val="28"/>
        </w:rPr>
      </w:pPr>
      <w:r w:rsidRPr="0017462C">
        <w:rPr>
          <w:sz w:val="20"/>
          <w:szCs w:val="28"/>
        </w:rPr>
        <w:lastRenderedPageBreak/>
        <w:t xml:space="preserve">While the MUZ has a greater suite of land uses identified within Category 2 when compared with the GRZ, this is acceptable as Category 2 uses require a permit. Council would be able to ensure that any potential conflict with existing residential uses could be appropriately assessed. </w:t>
      </w:r>
      <w:r w:rsidR="00647B78" w:rsidRPr="0017462C">
        <w:rPr>
          <w:sz w:val="20"/>
          <w:szCs w:val="28"/>
        </w:rPr>
        <w:t>This suitably manage</w:t>
      </w:r>
      <w:r w:rsidR="00743BD1" w:rsidRPr="0017462C">
        <w:rPr>
          <w:sz w:val="20"/>
          <w:szCs w:val="28"/>
        </w:rPr>
        <w:t>s</w:t>
      </w:r>
      <w:r w:rsidR="00647B78" w:rsidRPr="0017462C">
        <w:rPr>
          <w:sz w:val="20"/>
          <w:szCs w:val="28"/>
        </w:rPr>
        <w:t xml:space="preserve"> the planning risk associated with potential amenity impacts from future uses.</w:t>
      </w:r>
      <w:r w:rsidR="00647B78" w:rsidRPr="0017462C">
        <w:rPr>
          <w:sz w:val="20"/>
          <w:szCs w:val="28"/>
        </w:rPr>
        <w:tab/>
      </w:r>
    </w:p>
    <w:p w14:paraId="06B8C2D8" w14:textId="77777777" w:rsidR="003C6719" w:rsidRPr="0017462C" w:rsidRDefault="003C6719" w:rsidP="003C6719">
      <w:pPr>
        <w:pStyle w:val="ListBullet2"/>
        <w:numPr>
          <w:ilvl w:val="0"/>
          <w:numId w:val="0"/>
        </w:numPr>
        <w:ind w:left="360"/>
        <w:rPr>
          <w:sz w:val="20"/>
          <w:szCs w:val="28"/>
        </w:rPr>
      </w:pPr>
    </w:p>
    <w:p w14:paraId="26281208" w14:textId="6A818591" w:rsidR="003C6719" w:rsidRPr="0017462C" w:rsidRDefault="003C6719" w:rsidP="00833745">
      <w:pPr>
        <w:spacing w:before="120" w:line="280" w:lineRule="atLeast"/>
        <w:jc w:val="both"/>
        <w:rPr>
          <w:sz w:val="20"/>
          <w:szCs w:val="28"/>
        </w:rPr>
      </w:pPr>
      <w:r w:rsidRPr="0017462C">
        <w:rPr>
          <w:sz w:val="20"/>
          <w:szCs w:val="28"/>
        </w:rPr>
        <w:t xml:space="preserve">Given that existing land use rights apply, the MUZ is the most appropriate zone as this will give the Council certainty that the future use of the site can remain in a use that is consistent with the wider area, particularly if land ownership changes in the future. While the MUZ does not specify building height controls or any site-specific measures of relevance to our proposal, these are to be controlled via the DDO that has been prepared and submitted in support of the amendment.  </w:t>
      </w:r>
    </w:p>
    <w:p w14:paraId="05E52B51" w14:textId="4ACDCFC5" w:rsidR="003C6719" w:rsidRPr="00FC6F73" w:rsidRDefault="00785D62" w:rsidP="008C6A3A">
      <w:pPr>
        <w:spacing w:line="259" w:lineRule="auto"/>
        <w:contextualSpacing w:val="0"/>
      </w:pPr>
      <w:r>
        <w:br w:type="page"/>
      </w:r>
    </w:p>
    <w:p w14:paraId="59E9933D" w14:textId="7E2AFF02" w:rsidR="008822D0" w:rsidRPr="000F2F1D" w:rsidRDefault="008822D0" w:rsidP="00004416">
      <w:pPr>
        <w:pStyle w:val="Heading2"/>
      </w:pPr>
      <w:bookmarkStart w:id="68" w:name="_Toc152146943"/>
      <w:r w:rsidRPr="000F2F1D">
        <w:lastRenderedPageBreak/>
        <w:t>Application of the Design and Development Overlay (DDO)</w:t>
      </w:r>
      <w:bookmarkEnd w:id="68"/>
      <w:r w:rsidRPr="000F2F1D">
        <w:t xml:space="preserve"> </w:t>
      </w:r>
    </w:p>
    <w:p w14:paraId="0351BF00" w14:textId="69D25A16" w:rsidR="00177460" w:rsidRPr="0017462C" w:rsidRDefault="00177460" w:rsidP="00833745">
      <w:pPr>
        <w:spacing w:before="120" w:line="280" w:lineRule="atLeast"/>
        <w:jc w:val="both"/>
        <w:rPr>
          <w:sz w:val="20"/>
          <w:szCs w:val="28"/>
        </w:rPr>
      </w:pPr>
      <w:r w:rsidRPr="0017462C">
        <w:rPr>
          <w:sz w:val="20"/>
          <w:szCs w:val="28"/>
        </w:rPr>
        <w:t xml:space="preserve">As recommended by DELWP in earlier discussions, a separate DDO has now been prepared relating to the site, ensuring that design matters can be controlled in relation to any future redevelopment of the site. </w:t>
      </w:r>
      <w:r w:rsidR="00647B78" w:rsidRPr="0017462C">
        <w:rPr>
          <w:sz w:val="20"/>
          <w:szCs w:val="28"/>
        </w:rPr>
        <w:t xml:space="preserve">There is currently no maximum budling height for commercial buildings at the subject site. </w:t>
      </w:r>
    </w:p>
    <w:p w14:paraId="721927EE" w14:textId="77777777" w:rsidR="00177460" w:rsidRPr="0017462C" w:rsidRDefault="00177460" w:rsidP="00833745">
      <w:pPr>
        <w:spacing w:before="120" w:line="280" w:lineRule="atLeast"/>
        <w:jc w:val="both"/>
        <w:rPr>
          <w:sz w:val="20"/>
          <w:szCs w:val="28"/>
        </w:rPr>
      </w:pPr>
    </w:p>
    <w:p w14:paraId="4A1DD9DC" w14:textId="45D6EADD" w:rsidR="00177460" w:rsidRPr="0017462C" w:rsidRDefault="00177460" w:rsidP="00833745">
      <w:pPr>
        <w:spacing w:before="120" w:line="280" w:lineRule="atLeast"/>
        <w:jc w:val="both"/>
        <w:rPr>
          <w:sz w:val="20"/>
          <w:szCs w:val="28"/>
        </w:rPr>
      </w:pPr>
      <w:r w:rsidRPr="0017462C">
        <w:rPr>
          <w:sz w:val="20"/>
          <w:szCs w:val="28"/>
        </w:rPr>
        <w:t xml:space="preserve">While a DDO currently applies to the adjacent land, the site context and design considerations that relate to the existing DDO are not considered relevant to 200 Arden Street, so the DDO </w:t>
      </w:r>
      <w:r w:rsidR="00647B78" w:rsidRPr="0017462C">
        <w:rPr>
          <w:sz w:val="20"/>
          <w:szCs w:val="28"/>
        </w:rPr>
        <w:t xml:space="preserve">shouldn’t </w:t>
      </w:r>
      <w:r w:rsidRPr="0017462C">
        <w:rPr>
          <w:sz w:val="20"/>
          <w:szCs w:val="28"/>
        </w:rPr>
        <w:t xml:space="preserve">be extended to include the site.  As such, a site-specific DDO is proposed as part of this submission.  </w:t>
      </w:r>
    </w:p>
    <w:p w14:paraId="763BBC30" w14:textId="77777777" w:rsidR="00177460" w:rsidRPr="0017462C" w:rsidRDefault="00177460" w:rsidP="00833745">
      <w:pPr>
        <w:spacing w:before="120" w:line="280" w:lineRule="atLeast"/>
        <w:jc w:val="both"/>
        <w:rPr>
          <w:sz w:val="20"/>
          <w:szCs w:val="28"/>
        </w:rPr>
      </w:pPr>
      <w:r w:rsidRPr="0017462C">
        <w:rPr>
          <w:sz w:val="20"/>
          <w:szCs w:val="28"/>
        </w:rPr>
        <w:t xml:space="preserve"> </w:t>
      </w:r>
    </w:p>
    <w:p w14:paraId="6CAF7386" w14:textId="494B7459" w:rsidR="00177460" w:rsidRPr="0017462C" w:rsidRDefault="00177460" w:rsidP="00833745">
      <w:pPr>
        <w:spacing w:before="120" w:line="280" w:lineRule="atLeast"/>
        <w:jc w:val="both"/>
        <w:rPr>
          <w:sz w:val="20"/>
          <w:szCs w:val="28"/>
        </w:rPr>
      </w:pPr>
      <w:r w:rsidRPr="0017462C">
        <w:rPr>
          <w:sz w:val="20"/>
          <w:szCs w:val="28"/>
        </w:rPr>
        <w:t xml:space="preserve">The DDO provides Council and the community with </w:t>
      </w:r>
      <w:r w:rsidR="00FB5299" w:rsidRPr="0017462C">
        <w:rPr>
          <w:sz w:val="20"/>
          <w:szCs w:val="28"/>
        </w:rPr>
        <w:t>confidence that</w:t>
      </w:r>
      <w:r w:rsidRPr="0017462C">
        <w:rPr>
          <w:sz w:val="20"/>
          <w:szCs w:val="28"/>
        </w:rPr>
        <w:t xml:space="preserve"> particular</w:t>
      </w:r>
      <w:r w:rsidR="00F25124" w:rsidRPr="0017462C">
        <w:rPr>
          <w:sz w:val="20"/>
          <w:szCs w:val="28"/>
        </w:rPr>
        <w:t xml:space="preserve"> </w:t>
      </w:r>
      <w:r w:rsidRPr="0017462C">
        <w:rPr>
          <w:sz w:val="20"/>
          <w:szCs w:val="28"/>
        </w:rPr>
        <w:t xml:space="preserve">built-form outcomes will be achieved, and the development will give </w:t>
      </w:r>
      <w:r w:rsidR="00B229E7" w:rsidRPr="0017462C">
        <w:rPr>
          <w:sz w:val="20"/>
          <w:szCs w:val="28"/>
        </w:rPr>
        <w:t>consideration</w:t>
      </w:r>
      <w:r w:rsidRPr="0017462C">
        <w:rPr>
          <w:sz w:val="20"/>
          <w:szCs w:val="28"/>
        </w:rPr>
        <w:t xml:space="preserve"> to the surrounding context, and any sensitivities that may affect the site.  </w:t>
      </w:r>
    </w:p>
    <w:p w14:paraId="21EFBFB6" w14:textId="77777777" w:rsidR="00177460" w:rsidRPr="0017462C" w:rsidRDefault="00177460" w:rsidP="00833745">
      <w:pPr>
        <w:spacing w:before="120" w:line="280" w:lineRule="atLeast"/>
        <w:jc w:val="both"/>
        <w:rPr>
          <w:sz w:val="20"/>
          <w:szCs w:val="28"/>
        </w:rPr>
      </w:pPr>
    </w:p>
    <w:p w14:paraId="059A6F7B" w14:textId="6B4182E1" w:rsidR="00177460" w:rsidRPr="0017462C" w:rsidRDefault="00177460" w:rsidP="00833745">
      <w:pPr>
        <w:spacing w:before="120" w:line="280" w:lineRule="atLeast"/>
        <w:jc w:val="both"/>
        <w:rPr>
          <w:sz w:val="20"/>
          <w:szCs w:val="28"/>
        </w:rPr>
      </w:pPr>
      <w:r w:rsidRPr="0017462C">
        <w:rPr>
          <w:sz w:val="20"/>
          <w:szCs w:val="28"/>
        </w:rPr>
        <w:t xml:space="preserve">Specific consideration needs to be given to the northern and eastern interface of the site by the DDO to ensure that any future development will not impact the adjacent residential dwellings. The heritage significance, sensitivities of the surrounding interfaces, and the relationship with the streetscape </w:t>
      </w:r>
      <w:r w:rsidR="003C2C0A" w:rsidRPr="0017462C">
        <w:rPr>
          <w:sz w:val="20"/>
          <w:szCs w:val="28"/>
        </w:rPr>
        <w:t>mean</w:t>
      </w:r>
      <w:r w:rsidRPr="0017462C">
        <w:rPr>
          <w:sz w:val="20"/>
          <w:szCs w:val="28"/>
        </w:rPr>
        <w:t xml:space="preserve"> that any future development will need to be </w:t>
      </w:r>
      <w:r w:rsidR="00C86C27" w:rsidRPr="0017462C">
        <w:rPr>
          <w:sz w:val="20"/>
          <w:szCs w:val="28"/>
        </w:rPr>
        <w:t>focused</w:t>
      </w:r>
      <w:r w:rsidRPr="0017462C">
        <w:rPr>
          <w:sz w:val="20"/>
          <w:szCs w:val="28"/>
        </w:rPr>
        <w:t xml:space="preserve"> to the west of the site. This part of the site is considered to have low-sensitivity interfaces to the south and west, given its positioning/outlook on both Macaulay Road and Arden Street.</w:t>
      </w:r>
    </w:p>
    <w:p w14:paraId="34D313A0" w14:textId="77777777" w:rsidR="00A51042" w:rsidRPr="0017462C" w:rsidRDefault="00A51042" w:rsidP="00833745">
      <w:pPr>
        <w:spacing w:before="120" w:line="280" w:lineRule="atLeast"/>
        <w:jc w:val="both"/>
        <w:rPr>
          <w:sz w:val="20"/>
          <w:szCs w:val="28"/>
        </w:rPr>
      </w:pPr>
    </w:p>
    <w:p w14:paraId="577B24C5" w14:textId="7ED0F518" w:rsidR="00627FE0" w:rsidRPr="0017462C" w:rsidRDefault="001B436A" w:rsidP="00833745">
      <w:pPr>
        <w:spacing w:before="120" w:line="280" w:lineRule="atLeast"/>
        <w:jc w:val="both"/>
        <w:rPr>
          <w:sz w:val="20"/>
          <w:szCs w:val="28"/>
        </w:rPr>
      </w:pPr>
      <w:r w:rsidRPr="0017462C">
        <w:rPr>
          <w:sz w:val="20"/>
          <w:szCs w:val="28"/>
        </w:rPr>
        <w:t xml:space="preserve">Subject to an appropriately designed scheme, the proposed design and development controls would ensure that the built-form outcomes are appropriate and add to the qualities of the Melbourne Mills Building. Likewise, it would ensure that there would be no detrimental impact on the adjacent premises and sensitive interfaces. </w:t>
      </w:r>
      <w:r w:rsidR="00E47A6E" w:rsidRPr="0017462C">
        <w:rPr>
          <w:sz w:val="20"/>
          <w:szCs w:val="28"/>
        </w:rPr>
        <w:t>Refer to Section 6 of this report for a</w:t>
      </w:r>
      <w:r w:rsidRPr="0017462C">
        <w:rPr>
          <w:sz w:val="20"/>
          <w:szCs w:val="28"/>
        </w:rPr>
        <w:t xml:space="preserve"> detailed Urban Design Assessment</w:t>
      </w:r>
      <w:r w:rsidR="00E47A6E" w:rsidRPr="0017462C">
        <w:rPr>
          <w:sz w:val="20"/>
          <w:szCs w:val="28"/>
        </w:rPr>
        <w:t xml:space="preserve">. </w:t>
      </w:r>
    </w:p>
    <w:p w14:paraId="29EBD7CD" w14:textId="793CEDDD" w:rsidR="00D505A5" w:rsidRPr="008C6A3A" w:rsidRDefault="00D505A5" w:rsidP="008C6A3A">
      <w:pPr>
        <w:pStyle w:val="Heading3NoNumbers"/>
      </w:pPr>
      <w:r w:rsidRPr="008C6A3A">
        <w:t>Preferred Maximum Building Height</w:t>
      </w:r>
    </w:p>
    <w:p w14:paraId="0327201A" w14:textId="7A6C2B80" w:rsidR="00D505A5" w:rsidRPr="0017462C" w:rsidRDefault="00D505A5" w:rsidP="00833745">
      <w:pPr>
        <w:spacing w:before="120" w:line="280" w:lineRule="atLeast"/>
        <w:jc w:val="both"/>
        <w:rPr>
          <w:sz w:val="20"/>
          <w:szCs w:val="28"/>
        </w:rPr>
      </w:pPr>
      <w:r w:rsidRPr="0017462C">
        <w:rPr>
          <w:sz w:val="20"/>
          <w:szCs w:val="28"/>
        </w:rPr>
        <w:t xml:space="preserve">In a similar vein to DDO32 which applies to the south of Arden Street, the proposed DDO </w:t>
      </w:r>
      <w:r w:rsidR="0064236B" w:rsidRPr="0017462C">
        <w:rPr>
          <w:sz w:val="20"/>
          <w:szCs w:val="28"/>
        </w:rPr>
        <w:t xml:space="preserve">will </w:t>
      </w:r>
      <w:r w:rsidRPr="0017462C">
        <w:rPr>
          <w:sz w:val="20"/>
          <w:szCs w:val="28"/>
        </w:rPr>
        <w:t xml:space="preserve">set a clear expectation for the maximum building height at the site. This </w:t>
      </w:r>
      <w:r w:rsidR="002C6BBD" w:rsidRPr="0017462C">
        <w:rPr>
          <w:sz w:val="20"/>
          <w:szCs w:val="28"/>
        </w:rPr>
        <w:t>w</w:t>
      </w:r>
      <w:r w:rsidR="0064236B" w:rsidRPr="0017462C">
        <w:rPr>
          <w:sz w:val="20"/>
          <w:szCs w:val="28"/>
        </w:rPr>
        <w:t xml:space="preserve">ill </w:t>
      </w:r>
      <w:r w:rsidRPr="0017462C">
        <w:rPr>
          <w:sz w:val="20"/>
          <w:szCs w:val="28"/>
        </w:rPr>
        <w:t>outline a maximum building height of 20m to ensure that any future development is compatible with the adjoining Melbourne Mills building, as well as the wider context and street</w:t>
      </w:r>
      <w:r w:rsidR="00647B78" w:rsidRPr="0017462C">
        <w:rPr>
          <w:sz w:val="20"/>
          <w:szCs w:val="28"/>
        </w:rPr>
        <w:t>scape</w:t>
      </w:r>
      <w:r w:rsidRPr="0017462C">
        <w:rPr>
          <w:sz w:val="20"/>
          <w:szCs w:val="28"/>
        </w:rPr>
        <w:t xml:space="preserve">. </w:t>
      </w:r>
    </w:p>
    <w:p w14:paraId="589C66F8" w14:textId="05C532A5" w:rsidR="00D505A5" w:rsidRPr="0017462C" w:rsidRDefault="00D505A5" w:rsidP="00833745">
      <w:pPr>
        <w:spacing w:before="120" w:line="280" w:lineRule="atLeast"/>
        <w:jc w:val="both"/>
        <w:rPr>
          <w:sz w:val="20"/>
          <w:szCs w:val="28"/>
        </w:rPr>
      </w:pPr>
    </w:p>
    <w:p w14:paraId="1B380DA2" w14:textId="782EB2A1" w:rsidR="00D505A5" w:rsidRPr="0017462C" w:rsidRDefault="00D505A5" w:rsidP="00833745">
      <w:pPr>
        <w:spacing w:before="120" w:line="280" w:lineRule="atLeast"/>
        <w:jc w:val="both"/>
        <w:rPr>
          <w:sz w:val="20"/>
          <w:szCs w:val="28"/>
        </w:rPr>
      </w:pPr>
      <w:r w:rsidRPr="0017462C">
        <w:rPr>
          <w:sz w:val="20"/>
          <w:szCs w:val="28"/>
        </w:rPr>
        <w:t xml:space="preserve">In </w:t>
      </w:r>
      <w:r w:rsidR="00BA48DC" w:rsidRPr="0017462C">
        <w:rPr>
          <w:sz w:val="20"/>
          <w:szCs w:val="28"/>
        </w:rPr>
        <w:t xml:space="preserve">early </w:t>
      </w:r>
      <w:r w:rsidRPr="0017462C">
        <w:rPr>
          <w:sz w:val="20"/>
          <w:szCs w:val="28"/>
        </w:rPr>
        <w:t>discussions with Council, it was suggested that the height limitations that are applied to the DDO32 area should be extended to our site. DELWP provided commentary, which suggested that extending DDO</w:t>
      </w:r>
      <w:r w:rsidR="00647B78" w:rsidRPr="0017462C">
        <w:rPr>
          <w:sz w:val="20"/>
          <w:szCs w:val="28"/>
        </w:rPr>
        <w:t>32</w:t>
      </w:r>
      <w:r w:rsidRPr="0017462C">
        <w:rPr>
          <w:sz w:val="20"/>
          <w:szCs w:val="28"/>
        </w:rPr>
        <w:t xml:space="preserve"> was not acceptable, as the context for both areas </w:t>
      </w:r>
      <w:r w:rsidR="009F2FE3" w:rsidRPr="0017462C">
        <w:rPr>
          <w:sz w:val="20"/>
          <w:szCs w:val="28"/>
        </w:rPr>
        <w:t>is</w:t>
      </w:r>
      <w:r w:rsidRPr="0017462C">
        <w:rPr>
          <w:sz w:val="20"/>
          <w:szCs w:val="28"/>
        </w:rPr>
        <w:t xml:space="preserve"> substantially </w:t>
      </w:r>
      <w:r w:rsidR="00AE73C9" w:rsidRPr="0017462C">
        <w:rPr>
          <w:sz w:val="20"/>
          <w:szCs w:val="28"/>
        </w:rPr>
        <w:t>different.</w:t>
      </w:r>
    </w:p>
    <w:p w14:paraId="6B616B1A" w14:textId="3AB04C70" w:rsidR="00D505A5" w:rsidRPr="0017462C" w:rsidRDefault="00D505A5" w:rsidP="00833745">
      <w:pPr>
        <w:spacing w:before="120" w:line="280" w:lineRule="atLeast"/>
        <w:jc w:val="both"/>
        <w:rPr>
          <w:sz w:val="20"/>
          <w:szCs w:val="28"/>
        </w:rPr>
      </w:pPr>
    </w:p>
    <w:p w14:paraId="4B3F6E86" w14:textId="6654368A" w:rsidR="00D505A5" w:rsidRPr="0017462C" w:rsidRDefault="0064236B" w:rsidP="00833745">
      <w:pPr>
        <w:spacing w:before="120" w:line="280" w:lineRule="atLeast"/>
        <w:jc w:val="both"/>
        <w:rPr>
          <w:sz w:val="20"/>
          <w:szCs w:val="28"/>
        </w:rPr>
      </w:pPr>
      <w:r w:rsidRPr="0017462C">
        <w:rPr>
          <w:sz w:val="20"/>
          <w:szCs w:val="28"/>
        </w:rPr>
        <w:t>In contrast to the subject site, t</w:t>
      </w:r>
      <w:r w:rsidR="00D505A5" w:rsidRPr="0017462C">
        <w:rPr>
          <w:sz w:val="20"/>
          <w:szCs w:val="28"/>
        </w:rPr>
        <w:t xml:space="preserve">he area </w:t>
      </w:r>
      <w:r w:rsidRPr="0017462C">
        <w:rPr>
          <w:sz w:val="20"/>
          <w:szCs w:val="28"/>
        </w:rPr>
        <w:t xml:space="preserve">covered </w:t>
      </w:r>
      <w:r w:rsidR="00D505A5" w:rsidRPr="0017462C">
        <w:rPr>
          <w:sz w:val="20"/>
          <w:szCs w:val="28"/>
        </w:rPr>
        <w:t xml:space="preserve">in DDO32 is </w:t>
      </w:r>
      <w:r w:rsidR="00743BD1" w:rsidRPr="0017462C">
        <w:rPr>
          <w:sz w:val="20"/>
          <w:szCs w:val="28"/>
        </w:rPr>
        <w:t xml:space="preserve">a </w:t>
      </w:r>
      <w:r w:rsidR="00D505A5" w:rsidRPr="0017462C">
        <w:rPr>
          <w:sz w:val="20"/>
          <w:szCs w:val="28"/>
        </w:rPr>
        <w:t xml:space="preserve">historic residential area, with an established character of 2 to 3-storey heights. </w:t>
      </w:r>
      <w:r w:rsidR="00BA48DC" w:rsidRPr="0017462C">
        <w:rPr>
          <w:sz w:val="20"/>
          <w:szCs w:val="28"/>
        </w:rPr>
        <w:t>Due to the</w:t>
      </w:r>
      <w:r w:rsidR="00D505A5" w:rsidRPr="0017462C">
        <w:rPr>
          <w:sz w:val="20"/>
          <w:szCs w:val="28"/>
        </w:rPr>
        <w:t xml:space="preserve"> historic residential </w:t>
      </w:r>
      <w:r w:rsidR="008F7441" w:rsidRPr="0017462C">
        <w:rPr>
          <w:sz w:val="20"/>
          <w:szCs w:val="28"/>
        </w:rPr>
        <w:t>context</w:t>
      </w:r>
      <w:r w:rsidR="00D505A5" w:rsidRPr="0017462C">
        <w:rPr>
          <w:sz w:val="20"/>
          <w:szCs w:val="28"/>
        </w:rPr>
        <w:t xml:space="preserve">, this </w:t>
      </w:r>
      <w:r w:rsidR="008F7441" w:rsidRPr="0017462C">
        <w:rPr>
          <w:sz w:val="20"/>
          <w:szCs w:val="28"/>
        </w:rPr>
        <w:t xml:space="preserve">area </w:t>
      </w:r>
      <w:r w:rsidR="00D505A5" w:rsidRPr="0017462C">
        <w:rPr>
          <w:sz w:val="20"/>
          <w:szCs w:val="28"/>
        </w:rPr>
        <w:t xml:space="preserve">includes a fine grain built-form pattern, with smaller </w:t>
      </w:r>
      <w:r w:rsidR="00BA48DC" w:rsidRPr="0017462C">
        <w:rPr>
          <w:sz w:val="20"/>
          <w:szCs w:val="28"/>
        </w:rPr>
        <w:t xml:space="preserve">lot sizes and </w:t>
      </w:r>
      <w:r w:rsidR="00743BD1" w:rsidRPr="0017462C">
        <w:rPr>
          <w:sz w:val="20"/>
          <w:szCs w:val="28"/>
        </w:rPr>
        <w:t xml:space="preserve">a </w:t>
      </w:r>
      <w:r w:rsidR="00BA48DC" w:rsidRPr="0017462C">
        <w:rPr>
          <w:sz w:val="20"/>
          <w:szCs w:val="28"/>
        </w:rPr>
        <w:t>narrower lot layout</w:t>
      </w:r>
      <w:r w:rsidR="00D505A5" w:rsidRPr="0017462C">
        <w:rPr>
          <w:sz w:val="20"/>
          <w:szCs w:val="28"/>
        </w:rPr>
        <w:t>, as well as laneways that service the dwellings.</w:t>
      </w:r>
      <w:r w:rsidR="008F7441" w:rsidRPr="0017462C">
        <w:rPr>
          <w:sz w:val="20"/>
          <w:szCs w:val="28"/>
        </w:rPr>
        <w:t xml:space="preserve"> </w:t>
      </w:r>
      <w:r w:rsidR="000F64FB" w:rsidRPr="0017462C">
        <w:rPr>
          <w:sz w:val="20"/>
          <w:szCs w:val="28"/>
        </w:rPr>
        <w:t>The maximum building height in DDO32 is 14m.</w:t>
      </w:r>
    </w:p>
    <w:p w14:paraId="566E3CF8" w14:textId="05B59B68" w:rsidR="00D505A5" w:rsidRPr="0017462C" w:rsidRDefault="00D505A5" w:rsidP="00833745">
      <w:pPr>
        <w:spacing w:before="120" w:line="280" w:lineRule="atLeast"/>
        <w:jc w:val="both"/>
        <w:rPr>
          <w:sz w:val="20"/>
          <w:szCs w:val="28"/>
        </w:rPr>
      </w:pPr>
    </w:p>
    <w:p w14:paraId="07730729" w14:textId="685D7FE4" w:rsidR="00D505A5" w:rsidRPr="0017462C" w:rsidRDefault="00BA48DC" w:rsidP="00833745">
      <w:pPr>
        <w:spacing w:before="120" w:line="280" w:lineRule="atLeast"/>
        <w:jc w:val="both"/>
        <w:rPr>
          <w:sz w:val="20"/>
          <w:szCs w:val="28"/>
        </w:rPr>
      </w:pPr>
      <w:r w:rsidRPr="0017462C">
        <w:rPr>
          <w:sz w:val="20"/>
          <w:szCs w:val="28"/>
        </w:rPr>
        <w:t xml:space="preserve">The land at </w:t>
      </w:r>
      <w:r w:rsidR="00D505A5" w:rsidRPr="0017462C">
        <w:rPr>
          <w:sz w:val="20"/>
          <w:szCs w:val="28"/>
        </w:rPr>
        <w:t>200 Arden Street forms part of a</w:t>
      </w:r>
      <w:r w:rsidRPr="0017462C">
        <w:rPr>
          <w:sz w:val="20"/>
          <w:szCs w:val="28"/>
        </w:rPr>
        <w:t xml:space="preserve"> different </w:t>
      </w:r>
      <w:r w:rsidR="002C6BBD" w:rsidRPr="0017462C">
        <w:rPr>
          <w:sz w:val="20"/>
          <w:szCs w:val="28"/>
        </w:rPr>
        <w:t>historic subdivision pattern</w:t>
      </w:r>
      <w:r w:rsidR="00D505A5" w:rsidRPr="0017462C">
        <w:rPr>
          <w:sz w:val="20"/>
          <w:szCs w:val="28"/>
        </w:rPr>
        <w:t>, where lot sizes do not follow a fine grain pattern</w:t>
      </w:r>
      <w:r w:rsidR="008F7441" w:rsidRPr="0017462C">
        <w:rPr>
          <w:sz w:val="20"/>
          <w:szCs w:val="28"/>
        </w:rPr>
        <w:t xml:space="preserve"> as seen in the site area located within DDO32</w:t>
      </w:r>
      <w:r w:rsidR="00D505A5" w:rsidRPr="0017462C">
        <w:rPr>
          <w:sz w:val="20"/>
          <w:szCs w:val="28"/>
        </w:rPr>
        <w:t xml:space="preserve">. The area </w:t>
      </w:r>
      <w:r w:rsidR="008F7441" w:rsidRPr="0017462C">
        <w:rPr>
          <w:sz w:val="20"/>
          <w:szCs w:val="28"/>
        </w:rPr>
        <w:t xml:space="preserve">in which 200 Arden Street is located </w:t>
      </w:r>
      <w:r w:rsidR="00D505A5" w:rsidRPr="0017462C">
        <w:rPr>
          <w:sz w:val="20"/>
          <w:szCs w:val="28"/>
        </w:rPr>
        <w:t xml:space="preserve">is characterised by large lots and substantial building footprints </w:t>
      </w:r>
      <w:r w:rsidR="002C6BBD" w:rsidRPr="0017462C">
        <w:rPr>
          <w:sz w:val="20"/>
          <w:szCs w:val="28"/>
        </w:rPr>
        <w:t xml:space="preserve">including that of the </w:t>
      </w:r>
      <w:r w:rsidR="00D505A5" w:rsidRPr="0017462C">
        <w:rPr>
          <w:sz w:val="20"/>
          <w:szCs w:val="28"/>
        </w:rPr>
        <w:t>historic industrial building</w:t>
      </w:r>
      <w:r w:rsidR="002C6BBD" w:rsidRPr="0017462C">
        <w:rPr>
          <w:sz w:val="20"/>
          <w:szCs w:val="28"/>
        </w:rPr>
        <w:t xml:space="preserve"> at the site. </w:t>
      </w:r>
    </w:p>
    <w:p w14:paraId="3B56C6FF" w14:textId="16FC087A" w:rsidR="00D505A5" w:rsidRPr="0017462C" w:rsidRDefault="00D505A5" w:rsidP="00833745">
      <w:pPr>
        <w:spacing w:before="120" w:line="280" w:lineRule="atLeast"/>
        <w:jc w:val="both"/>
        <w:rPr>
          <w:sz w:val="20"/>
          <w:szCs w:val="28"/>
        </w:rPr>
      </w:pPr>
    </w:p>
    <w:p w14:paraId="2FF55986" w14:textId="4001A0A3" w:rsidR="00D505A5" w:rsidRPr="0017462C" w:rsidRDefault="00D505A5" w:rsidP="00833745">
      <w:pPr>
        <w:spacing w:before="120" w:line="280" w:lineRule="atLeast"/>
        <w:jc w:val="both"/>
        <w:rPr>
          <w:sz w:val="20"/>
          <w:szCs w:val="28"/>
        </w:rPr>
      </w:pPr>
      <w:r w:rsidRPr="0017462C">
        <w:rPr>
          <w:sz w:val="20"/>
          <w:szCs w:val="28"/>
        </w:rPr>
        <w:t xml:space="preserve">There are </w:t>
      </w:r>
      <w:r w:rsidR="002C6BBD" w:rsidRPr="0017462C">
        <w:rPr>
          <w:sz w:val="20"/>
          <w:szCs w:val="28"/>
        </w:rPr>
        <w:t xml:space="preserve">clear and </w:t>
      </w:r>
      <w:r w:rsidRPr="0017462C">
        <w:rPr>
          <w:sz w:val="20"/>
          <w:szCs w:val="28"/>
        </w:rPr>
        <w:t xml:space="preserve">substantial </w:t>
      </w:r>
      <w:r w:rsidR="0064236B" w:rsidRPr="0017462C">
        <w:rPr>
          <w:sz w:val="20"/>
          <w:szCs w:val="28"/>
        </w:rPr>
        <w:t xml:space="preserve">built form and character </w:t>
      </w:r>
      <w:r w:rsidRPr="0017462C">
        <w:rPr>
          <w:sz w:val="20"/>
          <w:szCs w:val="28"/>
        </w:rPr>
        <w:t xml:space="preserve">differences between </w:t>
      </w:r>
      <w:r w:rsidR="0064236B" w:rsidRPr="0017462C">
        <w:rPr>
          <w:sz w:val="20"/>
          <w:szCs w:val="28"/>
        </w:rPr>
        <w:t>the subject site</w:t>
      </w:r>
      <w:r w:rsidRPr="0017462C">
        <w:rPr>
          <w:sz w:val="20"/>
          <w:szCs w:val="28"/>
        </w:rPr>
        <w:t xml:space="preserve"> and </w:t>
      </w:r>
      <w:r w:rsidR="008F7441" w:rsidRPr="0017462C">
        <w:rPr>
          <w:sz w:val="20"/>
          <w:szCs w:val="28"/>
        </w:rPr>
        <w:t xml:space="preserve">the area </w:t>
      </w:r>
      <w:r w:rsidR="006E2876" w:rsidRPr="0017462C">
        <w:rPr>
          <w:sz w:val="20"/>
          <w:szCs w:val="28"/>
        </w:rPr>
        <w:t>located to the south</w:t>
      </w:r>
      <w:r w:rsidR="008F7441" w:rsidRPr="0017462C">
        <w:rPr>
          <w:sz w:val="20"/>
          <w:szCs w:val="28"/>
        </w:rPr>
        <w:t xml:space="preserve"> </w:t>
      </w:r>
      <w:r w:rsidR="0064236B" w:rsidRPr="0017462C">
        <w:rPr>
          <w:sz w:val="20"/>
          <w:szCs w:val="28"/>
        </w:rPr>
        <w:t xml:space="preserve">of Arden Street </w:t>
      </w:r>
      <w:r w:rsidR="008F7441" w:rsidRPr="0017462C">
        <w:rPr>
          <w:sz w:val="20"/>
          <w:szCs w:val="28"/>
        </w:rPr>
        <w:t>within DDO32</w:t>
      </w:r>
      <w:r w:rsidR="0064236B" w:rsidRPr="0017462C">
        <w:rPr>
          <w:sz w:val="20"/>
          <w:szCs w:val="28"/>
        </w:rPr>
        <w:t>.</w:t>
      </w:r>
      <w:r w:rsidR="008F7441" w:rsidRPr="0017462C">
        <w:rPr>
          <w:sz w:val="20"/>
          <w:szCs w:val="28"/>
        </w:rPr>
        <w:t xml:space="preserve"> </w:t>
      </w:r>
      <w:r w:rsidR="00743BD1" w:rsidRPr="0017462C">
        <w:rPr>
          <w:sz w:val="20"/>
          <w:szCs w:val="28"/>
        </w:rPr>
        <w:t>Accordingly</w:t>
      </w:r>
      <w:r w:rsidR="0064236B" w:rsidRPr="0017462C">
        <w:rPr>
          <w:sz w:val="20"/>
          <w:szCs w:val="28"/>
        </w:rPr>
        <w:t>,</w:t>
      </w:r>
      <w:r w:rsidR="008F7441" w:rsidRPr="0017462C">
        <w:rPr>
          <w:sz w:val="20"/>
          <w:szCs w:val="28"/>
        </w:rPr>
        <w:t xml:space="preserve"> </w:t>
      </w:r>
      <w:r w:rsidRPr="0017462C">
        <w:rPr>
          <w:sz w:val="20"/>
          <w:szCs w:val="28"/>
        </w:rPr>
        <w:t xml:space="preserve">the application of a 14m height limit </w:t>
      </w:r>
      <w:r w:rsidR="008F7441" w:rsidRPr="0017462C">
        <w:rPr>
          <w:sz w:val="20"/>
          <w:szCs w:val="28"/>
        </w:rPr>
        <w:t xml:space="preserve">is not </w:t>
      </w:r>
      <w:r w:rsidR="0064236B" w:rsidRPr="0017462C">
        <w:rPr>
          <w:sz w:val="20"/>
          <w:szCs w:val="28"/>
        </w:rPr>
        <w:t>suitable at the subject</w:t>
      </w:r>
      <w:r w:rsidRPr="0017462C">
        <w:rPr>
          <w:sz w:val="20"/>
          <w:szCs w:val="28"/>
        </w:rPr>
        <w:t xml:space="preserve"> site. The application of a 20m height limit is a more suitable limitation </w:t>
      </w:r>
      <w:r w:rsidRPr="0017462C">
        <w:rPr>
          <w:sz w:val="20"/>
          <w:szCs w:val="28"/>
        </w:rPr>
        <w:lastRenderedPageBreak/>
        <w:t xml:space="preserve">on height </w:t>
      </w:r>
      <w:r w:rsidR="0064236B" w:rsidRPr="0017462C">
        <w:rPr>
          <w:sz w:val="20"/>
          <w:szCs w:val="28"/>
        </w:rPr>
        <w:t xml:space="preserve">when </w:t>
      </w:r>
      <w:r w:rsidR="00B51D94" w:rsidRPr="0017462C">
        <w:rPr>
          <w:sz w:val="20"/>
          <w:szCs w:val="28"/>
        </w:rPr>
        <w:t xml:space="preserve">the </w:t>
      </w:r>
      <w:r w:rsidRPr="0017462C">
        <w:rPr>
          <w:sz w:val="20"/>
          <w:szCs w:val="28"/>
        </w:rPr>
        <w:t>existing and emerging built-form character</w:t>
      </w:r>
      <w:r w:rsidR="00B51D94" w:rsidRPr="0017462C">
        <w:rPr>
          <w:sz w:val="20"/>
          <w:szCs w:val="28"/>
        </w:rPr>
        <w:t xml:space="preserve"> </w:t>
      </w:r>
      <w:r w:rsidR="0064236B" w:rsidRPr="0017462C">
        <w:rPr>
          <w:sz w:val="20"/>
          <w:szCs w:val="28"/>
        </w:rPr>
        <w:t xml:space="preserve">of the site and its interfaces </w:t>
      </w:r>
      <w:r w:rsidR="000F64FB" w:rsidRPr="0017462C">
        <w:rPr>
          <w:sz w:val="20"/>
          <w:szCs w:val="28"/>
        </w:rPr>
        <w:t>are</w:t>
      </w:r>
      <w:r w:rsidR="0064236B" w:rsidRPr="0017462C">
        <w:rPr>
          <w:sz w:val="20"/>
          <w:szCs w:val="28"/>
        </w:rPr>
        <w:t xml:space="preserve"> considered.</w:t>
      </w:r>
      <w:r w:rsidR="008F7441" w:rsidRPr="0017462C">
        <w:rPr>
          <w:sz w:val="20"/>
          <w:szCs w:val="28"/>
        </w:rPr>
        <w:t xml:space="preserve"> </w:t>
      </w:r>
    </w:p>
    <w:p w14:paraId="79D4AED6" w14:textId="720278F2" w:rsidR="00D505A5" w:rsidRPr="008C6A3A" w:rsidRDefault="00D505A5" w:rsidP="008C6A3A">
      <w:pPr>
        <w:pStyle w:val="Heading3NoNumbers"/>
      </w:pPr>
      <w:r w:rsidRPr="008C6A3A">
        <w:t>Interfaces and Setbacks</w:t>
      </w:r>
    </w:p>
    <w:p w14:paraId="4D1BB4AA" w14:textId="039F88C2" w:rsidR="00177460" w:rsidRPr="0017462C" w:rsidRDefault="00177460" w:rsidP="00833745">
      <w:pPr>
        <w:spacing w:before="120" w:line="280" w:lineRule="atLeast"/>
        <w:jc w:val="both"/>
        <w:rPr>
          <w:sz w:val="20"/>
          <w:szCs w:val="28"/>
        </w:rPr>
      </w:pPr>
      <w:bookmarkStart w:id="69" w:name="_Hlk141092152"/>
      <w:r w:rsidRPr="0017462C">
        <w:rPr>
          <w:sz w:val="20"/>
          <w:szCs w:val="28"/>
        </w:rPr>
        <w:t xml:space="preserve">The subject site has a residential interface to the north, comprised of a four-storey residential building held by the DFFH at 139-153 O’Shanassy Street. To ensure any future development does not unreasonably impact the amenity of the residential building to the north, any future redevelopment of the site must maintain the existing 9m setback from the </w:t>
      </w:r>
      <w:r w:rsidR="00C86C27" w:rsidRPr="0017462C">
        <w:rPr>
          <w:sz w:val="20"/>
          <w:szCs w:val="28"/>
        </w:rPr>
        <w:t>boundary of the adjacent residential building.</w:t>
      </w:r>
    </w:p>
    <w:p w14:paraId="3AEEBDAB" w14:textId="7E009BF2" w:rsidR="00177460" w:rsidRPr="0017462C" w:rsidRDefault="00177460" w:rsidP="00833745">
      <w:pPr>
        <w:spacing w:before="120" w:line="280" w:lineRule="atLeast"/>
        <w:jc w:val="both"/>
        <w:rPr>
          <w:sz w:val="20"/>
          <w:szCs w:val="28"/>
        </w:rPr>
      </w:pPr>
    </w:p>
    <w:p w14:paraId="73EF0FC7" w14:textId="56B8AC30" w:rsidR="00177460" w:rsidRPr="0017462C" w:rsidRDefault="00177460" w:rsidP="00833745">
      <w:pPr>
        <w:spacing w:before="120" w:line="280" w:lineRule="atLeast"/>
        <w:jc w:val="both"/>
        <w:rPr>
          <w:sz w:val="20"/>
          <w:szCs w:val="28"/>
        </w:rPr>
      </w:pPr>
      <w:r w:rsidRPr="0017462C">
        <w:rPr>
          <w:sz w:val="20"/>
          <w:szCs w:val="28"/>
        </w:rPr>
        <w:t xml:space="preserve">To maintain this setback, and to ensure any potential development at the site has no impact on overshadowing the secluded private open space (SPOS) of the dwellings at 139-153 O’Shanassy Street, any future redevelopment should not exceed 20m in overall height. This will also ensure that the overall residential amenity to the northern interface of the subject site is unaffected. </w:t>
      </w:r>
    </w:p>
    <w:p w14:paraId="353D2A26" w14:textId="05B285DB" w:rsidR="00177460" w:rsidRPr="0017462C" w:rsidRDefault="00177460" w:rsidP="00833745">
      <w:pPr>
        <w:spacing w:before="120" w:line="280" w:lineRule="atLeast"/>
        <w:jc w:val="both"/>
        <w:rPr>
          <w:sz w:val="20"/>
          <w:szCs w:val="28"/>
        </w:rPr>
      </w:pPr>
    </w:p>
    <w:p w14:paraId="664AE28C" w14:textId="51F254A7" w:rsidR="001967B2" w:rsidRPr="0017462C" w:rsidRDefault="00177460" w:rsidP="00833745">
      <w:pPr>
        <w:spacing w:before="120" w:line="280" w:lineRule="atLeast"/>
        <w:jc w:val="both"/>
        <w:rPr>
          <w:sz w:val="20"/>
          <w:szCs w:val="28"/>
        </w:rPr>
      </w:pPr>
      <w:r w:rsidRPr="0017462C">
        <w:rPr>
          <w:sz w:val="20"/>
          <w:szCs w:val="28"/>
        </w:rPr>
        <w:t xml:space="preserve">The existing planning controls do not identify a preferred maximum building height for a non-residential building at the subject site. The application of the Mixed-Use Zone will be accompanied by the application of a DDO to guide the built form of development that can occur at the subject site. </w:t>
      </w:r>
    </w:p>
    <w:p w14:paraId="38F2DCA0" w14:textId="58A65E83" w:rsidR="001967B2" w:rsidRPr="0017462C" w:rsidRDefault="001967B2" w:rsidP="00833745">
      <w:pPr>
        <w:spacing w:before="120" w:line="280" w:lineRule="atLeast"/>
        <w:jc w:val="both"/>
        <w:rPr>
          <w:sz w:val="20"/>
          <w:szCs w:val="28"/>
        </w:rPr>
      </w:pPr>
    </w:p>
    <w:p w14:paraId="6B5D7B13" w14:textId="081405E0" w:rsidR="001967B2" w:rsidRPr="0017462C" w:rsidRDefault="001967B2" w:rsidP="00833745">
      <w:pPr>
        <w:spacing w:before="120" w:line="280" w:lineRule="atLeast"/>
        <w:jc w:val="both"/>
        <w:rPr>
          <w:sz w:val="20"/>
          <w:szCs w:val="28"/>
        </w:rPr>
      </w:pPr>
      <w:r w:rsidRPr="0017462C">
        <w:rPr>
          <w:sz w:val="20"/>
          <w:szCs w:val="28"/>
        </w:rPr>
        <w:t xml:space="preserve">The maximum building envelope under DDO84 would prevent new development from obscuring the Melbourne Mills building’s street-facing north, east, or south façades. It allows new development to partially conceal its west façade, which is located in an internal-facing, secondary part of the subject site. </w:t>
      </w:r>
    </w:p>
    <w:p w14:paraId="5E34D174" w14:textId="0332260A" w:rsidR="001967B2" w:rsidRPr="0017462C" w:rsidRDefault="001967B2" w:rsidP="00833745">
      <w:pPr>
        <w:spacing w:before="120" w:line="280" w:lineRule="atLeast"/>
        <w:jc w:val="both"/>
        <w:rPr>
          <w:sz w:val="20"/>
          <w:szCs w:val="28"/>
        </w:rPr>
      </w:pPr>
    </w:p>
    <w:p w14:paraId="3D8FFD23" w14:textId="16256F47" w:rsidR="001967B2" w:rsidRPr="0017462C" w:rsidRDefault="001967B2" w:rsidP="00833745">
      <w:pPr>
        <w:spacing w:before="120" w:line="280" w:lineRule="atLeast"/>
        <w:jc w:val="both"/>
        <w:rPr>
          <w:sz w:val="20"/>
          <w:szCs w:val="28"/>
        </w:rPr>
      </w:pPr>
      <w:r w:rsidRPr="0017462C">
        <w:rPr>
          <w:sz w:val="20"/>
          <w:szCs w:val="28"/>
        </w:rPr>
        <w:t xml:space="preserve">The west façade has undergone significant alterations over the years, where some original openings are obscured or infilled. Clause 15.03-1L-02 states that new buildings should not obscure views from the street of the front or principal part of adjoining significant or contributory places or buildings. The addition of new mass to this elevation, therefore, would not visually disrupt the appreciation for the Melbourne Mills building’s principal south and east facades from Arden and Lothian streets. </w:t>
      </w:r>
    </w:p>
    <w:p w14:paraId="046C752C" w14:textId="352AA64C" w:rsidR="001967B2" w:rsidRPr="0017462C" w:rsidRDefault="001967B2" w:rsidP="00833745">
      <w:pPr>
        <w:spacing w:before="120" w:line="280" w:lineRule="atLeast"/>
        <w:jc w:val="both"/>
        <w:rPr>
          <w:sz w:val="20"/>
          <w:szCs w:val="28"/>
        </w:rPr>
      </w:pPr>
    </w:p>
    <w:p w14:paraId="2B77E059" w14:textId="431A63A6" w:rsidR="008F7441" w:rsidRPr="0017462C" w:rsidRDefault="001967B2" w:rsidP="00833745">
      <w:pPr>
        <w:spacing w:before="120" w:line="280" w:lineRule="atLeast"/>
        <w:jc w:val="both"/>
        <w:rPr>
          <w:sz w:val="20"/>
          <w:szCs w:val="28"/>
        </w:rPr>
      </w:pPr>
      <w:r w:rsidRPr="0017462C">
        <w:rPr>
          <w:sz w:val="20"/>
          <w:szCs w:val="28"/>
        </w:rPr>
        <w:t>The addition of an adjoining mass that conceals part of the west façade is acceptable, as it would not detract from the significance and character of the Melbourne Mills building. Likewise, the 20m height limit</w:t>
      </w:r>
      <w:r w:rsidR="000F64FB" w:rsidRPr="0017462C">
        <w:rPr>
          <w:sz w:val="20"/>
          <w:szCs w:val="28"/>
        </w:rPr>
        <w:t>ation</w:t>
      </w:r>
      <w:r w:rsidRPr="0017462C">
        <w:rPr>
          <w:sz w:val="20"/>
          <w:szCs w:val="28"/>
        </w:rPr>
        <w:t xml:space="preserve"> for the proposed new mass responds to the 20.98m height of the adjoining Melbourne Mills building and does not dominate its prominence. </w:t>
      </w:r>
      <w:r w:rsidR="008F7441" w:rsidRPr="0017462C">
        <w:rPr>
          <w:sz w:val="20"/>
          <w:szCs w:val="28"/>
        </w:rPr>
        <w:t xml:space="preserve">This </w:t>
      </w:r>
      <w:r w:rsidR="002C6BBD" w:rsidRPr="0017462C">
        <w:rPr>
          <w:sz w:val="20"/>
          <w:szCs w:val="28"/>
        </w:rPr>
        <w:t xml:space="preserve">building height will not detract from the heritage significance of the existing Melbourne Mills building </w:t>
      </w:r>
      <w:r w:rsidR="008F7441" w:rsidRPr="0017462C">
        <w:rPr>
          <w:sz w:val="20"/>
          <w:szCs w:val="28"/>
        </w:rPr>
        <w:t xml:space="preserve">as is set out in detail </w:t>
      </w:r>
      <w:r w:rsidR="00095B72" w:rsidRPr="0017462C">
        <w:rPr>
          <w:sz w:val="20"/>
          <w:szCs w:val="28"/>
        </w:rPr>
        <w:t xml:space="preserve">in the supporting letter prepared </w:t>
      </w:r>
      <w:r w:rsidR="002C6BBD" w:rsidRPr="0017462C">
        <w:rPr>
          <w:sz w:val="20"/>
          <w:szCs w:val="28"/>
        </w:rPr>
        <w:t xml:space="preserve">by Trethowan Architecture </w:t>
      </w:r>
      <w:r w:rsidR="00095B72" w:rsidRPr="0017462C">
        <w:rPr>
          <w:sz w:val="20"/>
          <w:szCs w:val="28"/>
        </w:rPr>
        <w:t>(see A</w:t>
      </w:r>
      <w:r w:rsidR="008F7441" w:rsidRPr="0017462C">
        <w:rPr>
          <w:sz w:val="20"/>
          <w:szCs w:val="28"/>
        </w:rPr>
        <w:t>ppendix D</w:t>
      </w:r>
      <w:r w:rsidR="00095B72" w:rsidRPr="0017462C">
        <w:rPr>
          <w:sz w:val="20"/>
          <w:szCs w:val="28"/>
        </w:rPr>
        <w:t>)</w:t>
      </w:r>
      <w:r w:rsidR="008F7441" w:rsidRPr="0017462C">
        <w:rPr>
          <w:sz w:val="20"/>
          <w:szCs w:val="28"/>
        </w:rPr>
        <w:t xml:space="preserve">. </w:t>
      </w:r>
      <w:bookmarkEnd w:id="69"/>
    </w:p>
    <w:p w14:paraId="59E34870" w14:textId="678355FF" w:rsidR="00D505A5" w:rsidRPr="008C6A3A" w:rsidRDefault="00D505A5" w:rsidP="008C6A3A">
      <w:pPr>
        <w:pStyle w:val="Heading3NoNumbers"/>
      </w:pPr>
      <w:r w:rsidRPr="008C6A3A">
        <w:t>Built Form Outcomes</w:t>
      </w:r>
    </w:p>
    <w:p w14:paraId="3476EAF2" w14:textId="38C92BC4" w:rsidR="00D505A5" w:rsidRPr="008D525D" w:rsidRDefault="00D505A5" w:rsidP="008D525D">
      <w:pPr>
        <w:spacing w:before="120" w:line="280" w:lineRule="atLeast"/>
        <w:jc w:val="both"/>
        <w:rPr>
          <w:sz w:val="20"/>
          <w:szCs w:val="28"/>
        </w:rPr>
      </w:pPr>
      <w:r w:rsidRPr="0017462C">
        <w:rPr>
          <w:sz w:val="20"/>
          <w:szCs w:val="28"/>
        </w:rPr>
        <w:t xml:space="preserve">As set out in the DDO Built Form Outcomes requirement, </w:t>
      </w:r>
      <w:r w:rsidR="00B51D94" w:rsidRPr="0017462C">
        <w:rPr>
          <w:sz w:val="20"/>
          <w:szCs w:val="28"/>
        </w:rPr>
        <w:t xml:space="preserve">any </w:t>
      </w:r>
      <w:r w:rsidRPr="0017462C">
        <w:rPr>
          <w:sz w:val="20"/>
          <w:szCs w:val="28"/>
        </w:rPr>
        <w:t xml:space="preserve">new development will be required to respect the scale and siting of the existing Melbourne Mills heritage building. </w:t>
      </w:r>
      <w:r w:rsidR="00B51D94" w:rsidRPr="0017462C">
        <w:rPr>
          <w:sz w:val="20"/>
          <w:szCs w:val="28"/>
        </w:rPr>
        <w:t xml:space="preserve">Guidelines are also set out in the DDO in respect of the maximum building height, as well as the preferred building setback </w:t>
      </w:r>
      <w:r w:rsidRPr="0017462C">
        <w:rPr>
          <w:sz w:val="20"/>
          <w:szCs w:val="28"/>
        </w:rPr>
        <w:t xml:space="preserve">to the northern site boundary to </w:t>
      </w:r>
      <w:r w:rsidR="00B51D94" w:rsidRPr="0017462C">
        <w:rPr>
          <w:sz w:val="20"/>
          <w:szCs w:val="28"/>
        </w:rPr>
        <w:t>139-</w:t>
      </w:r>
      <w:r w:rsidR="00B51D94" w:rsidRPr="008D525D">
        <w:rPr>
          <w:sz w:val="20"/>
          <w:szCs w:val="28"/>
        </w:rPr>
        <w:t xml:space="preserve">153 O’Shanessy Street at </w:t>
      </w:r>
      <w:r w:rsidR="00B51D94" w:rsidRPr="0017462C">
        <w:rPr>
          <w:sz w:val="20"/>
          <w:szCs w:val="28"/>
        </w:rPr>
        <w:t>9m</w:t>
      </w:r>
      <w:r w:rsidR="00B51D94" w:rsidRPr="008D525D">
        <w:rPr>
          <w:sz w:val="20"/>
          <w:szCs w:val="28"/>
        </w:rPr>
        <w:t>. This ensures that residential amenity for the DHHS site to the north is unaffected by the development.</w:t>
      </w:r>
    </w:p>
    <w:p w14:paraId="3E267B04" w14:textId="55887CA6" w:rsidR="00B51D94" w:rsidRPr="008D525D" w:rsidRDefault="00B51D94" w:rsidP="008D525D">
      <w:pPr>
        <w:spacing w:before="120" w:line="280" w:lineRule="atLeast"/>
        <w:jc w:val="both"/>
        <w:rPr>
          <w:sz w:val="20"/>
          <w:szCs w:val="28"/>
        </w:rPr>
      </w:pPr>
    </w:p>
    <w:p w14:paraId="65B9A3F2" w14:textId="3ECA1A1A" w:rsidR="00B51D94" w:rsidRPr="0017462C" w:rsidRDefault="00B51D94" w:rsidP="008D525D">
      <w:pPr>
        <w:spacing w:before="120" w:line="280" w:lineRule="atLeast"/>
        <w:jc w:val="both"/>
        <w:rPr>
          <w:sz w:val="20"/>
          <w:szCs w:val="28"/>
        </w:rPr>
      </w:pPr>
      <w:r w:rsidRPr="008D525D">
        <w:rPr>
          <w:sz w:val="20"/>
          <w:szCs w:val="28"/>
        </w:rPr>
        <w:t>Future development proposals are also required to be consistent with the existing character of buildings along Arden Street and provide a suitable response to the intersection to the south-west. The inclusion of this within the DDO Built Form Outcomes ensures that development will have to appropriately respond to the surrounding character, and the Heritage Overlay.</w:t>
      </w:r>
    </w:p>
    <w:p w14:paraId="58244425" w14:textId="6A583AA6" w:rsidR="00D505A5" w:rsidRPr="0017462C" w:rsidRDefault="00D505A5" w:rsidP="008D525D">
      <w:pPr>
        <w:spacing w:before="120" w:line="280" w:lineRule="atLeast"/>
        <w:jc w:val="both"/>
        <w:rPr>
          <w:sz w:val="20"/>
          <w:szCs w:val="28"/>
        </w:rPr>
      </w:pPr>
    </w:p>
    <w:p w14:paraId="74E7B955" w14:textId="1C3EB462" w:rsidR="00177460" w:rsidRPr="0017462C" w:rsidRDefault="00177460" w:rsidP="008D525D">
      <w:pPr>
        <w:spacing w:before="120" w:line="280" w:lineRule="atLeast"/>
        <w:jc w:val="both"/>
        <w:rPr>
          <w:sz w:val="20"/>
          <w:szCs w:val="28"/>
        </w:rPr>
      </w:pPr>
      <w:r w:rsidRPr="0017462C">
        <w:rPr>
          <w:sz w:val="20"/>
          <w:szCs w:val="28"/>
        </w:rPr>
        <w:t xml:space="preserve">Figure </w:t>
      </w:r>
      <w:r w:rsidR="00C8535F" w:rsidRPr="0017462C">
        <w:rPr>
          <w:sz w:val="20"/>
          <w:szCs w:val="28"/>
        </w:rPr>
        <w:t>6</w:t>
      </w:r>
      <w:r w:rsidRPr="0017462C">
        <w:rPr>
          <w:sz w:val="20"/>
          <w:szCs w:val="28"/>
        </w:rPr>
        <w:t xml:space="preserve"> demonstrates an indicative building </w:t>
      </w:r>
      <w:r w:rsidR="006D4EE2" w:rsidRPr="0017462C">
        <w:rPr>
          <w:sz w:val="20"/>
          <w:szCs w:val="28"/>
        </w:rPr>
        <w:t>envelope</w:t>
      </w:r>
      <w:r w:rsidRPr="0017462C">
        <w:rPr>
          <w:sz w:val="20"/>
          <w:szCs w:val="28"/>
        </w:rPr>
        <w:t xml:space="preserve"> based on the </w:t>
      </w:r>
      <w:r w:rsidR="00B51D94" w:rsidRPr="0017462C">
        <w:rPr>
          <w:sz w:val="20"/>
          <w:szCs w:val="28"/>
        </w:rPr>
        <w:t>height limitations and setback requirements</w:t>
      </w:r>
      <w:r w:rsidRPr="0017462C">
        <w:rPr>
          <w:sz w:val="20"/>
          <w:szCs w:val="28"/>
        </w:rPr>
        <w:t xml:space="preserve"> of the draft DDO. While this is only indicative at this stage, the massing and overall scale </w:t>
      </w:r>
      <w:r w:rsidR="006D4EE2" w:rsidRPr="0017462C">
        <w:rPr>
          <w:sz w:val="20"/>
          <w:szCs w:val="28"/>
        </w:rPr>
        <w:lastRenderedPageBreak/>
        <w:t>are</w:t>
      </w:r>
      <w:r w:rsidRPr="0017462C">
        <w:rPr>
          <w:sz w:val="20"/>
          <w:szCs w:val="28"/>
        </w:rPr>
        <w:t xml:space="preserve"> </w:t>
      </w:r>
      <w:r w:rsidR="006D4EE2" w:rsidRPr="0017462C">
        <w:rPr>
          <w:sz w:val="20"/>
          <w:szCs w:val="28"/>
        </w:rPr>
        <w:t xml:space="preserve">an </w:t>
      </w:r>
      <w:r w:rsidRPr="0017462C">
        <w:rPr>
          <w:sz w:val="20"/>
          <w:szCs w:val="28"/>
        </w:rPr>
        <w:t xml:space="preserve">appropriate response to the site and its context. </w:t>
      </w:r>
      <w:r w:rsidR="007D67A0" w:rsidRPr="0017462C">
        <w:rPr>
          <w:sz w:val="20"/>
          <w:szCs w:val="28"/>
        </w:rPr>
        <w:t>A future building design will be required to respond to the heritage character of the Mills building and will naturally include articulation and fenestration that will reduce the perceived building scale and mass.</w:t>
      </w:r>
    </w:p>
    <w:p w14:paraId="384D84E2" w14:textId="77777777" w:rsidR="00177460" w:rsidRPr="0017462C" w:rsidRDefault="00177460" w:rsidP="008D525D">
      <w:pPr>
        <w:spacing w:before="120" w:line="280" w:lineRule="atLeast"/>
        <w:jc w:val="both"/>
        <w:rPr>
          <w:sz w:val="20"/>
          <w:szCs w:val="28"/>
        </w:rPr>
      </w:pPr>
    </w:p>
    <w:p w14:paraId="1E3291B7" w14:textId="1B05815B" w:rsidR="00CB3495" w:rsidRPr="0017462C" w:rsidRDefault="00177460" w:rsidP="008D525D">
      <w:pPr>
        <w:spacing w:before="120" w:line="280" w:lineRule="atLeast"/>
        <w:jc w:val="both"/>
        <w:rPr>
          <w:sz w:val="20"/>
          <w:szCs w:val="28"/>
        </w:rPr>
      </w:pPr>
      <w:r w:rsidRPr="0017462C">
        <w:rPr>
          <w:sz w:val="20"/>
          <w:szCs w:val="28"/>
        </w:rPr>
        <w:t>Subject to an appropriately designed scheme, the proposed design and development controls would ensure that the built-form outcomes are appropriate and add to the qualities of the Melbourne Mills Building. Likewise, it would ensure that there would be no detrimental impact on the adjacent premises and sensitive interfaces.</w:t>
      </w:r>
    </w:p>
    <w:p w14:paraId="150CD55A" w14:textId="230125CC" w:rsidR="00CB3495" w:rsidRPr="008C6A3A" w:rsidRDefault="002C6BBD" w:rsidP="00CB3495">
      <w:pPr>
        <w:pStyle w:val="Heading2"/>
      </w:pPr>
      <w:bookmarkStart w:id="70" w:name="_Toc152146944"/>
      <w:r w:rsidRPr="008C6A3A">
        <w:t xml:space="preserve">Building </w:t>
      </w:r>
      <w:r w:rsidR="008F3899" w:rsidRPr="008C6A3A">
        <w:t xml:space="preserve">Height </w:t>
      </w:r>
      <w:r w:rsidR="00CB3495" w:rsidRPr="008C6A3A">
        <w:t>Testing</w:t>
      </w:r>
      <w:bookmarkEnd w:id="70"/>
    </w:p>
    <w:p w14:paraId="40BED11D" w14:textId="5D6B776A" w:rsidR="009D0E3C" w:rsidRPr="0017462C" w:rsidRDefault="005A059A" w:rsidP="008D525D">
      <w:pPr>
        <w:spacing w:before="120" w:line="280" w:lineRule="atLeast"/>
        <w:jc w:val="both"/>
        <w:rPr>
          <w:sz w:val="20"/>
          <w:szCs w:val="28"/>
        </w:rPr>
      </w:pPr>
      <w:r w:rsidRPr="0017462C">
        <w:rPr>
          <w:sz w:val="20"/>
          <w:szCs w:val="28"/>
        </w:rPr>
        <w:t>Alongside</w:t>
      </w:r>
      <w:r w:rsidR="00CB3495" w:rsidRPr="0017462C">
        <w:rPr>
          <w:sz w:val="20"/>
          <w:szCs w:val="28"/>
        </w:rPr>
        <w:t xml:space="preserve"> the</w:t>
      </w:r>
      <w:r w:rsidRPr="0017462C">
        <w:rPr>
          <w:sz w:val="20"/>
          <w:szCs w:val="28"/>
        </w:rPr>
        <w:t xml:space="preserve"> </w:t>
      </w:r>
      <w:r w:rsidR="00CB3495" w:rsidRPr="0017462C">
        <w:rPr>
          <w:sz w:val="20"/>
          <w:szCs w:val="28"/>
        </w:rPr>
        <w:t xml:space="preserve">illustrative </w:t>
      </w:r>
      <w:r w:rsidR="002C6BBD" w:rsidRPr="0017462C">
        <w:rPr>
          <w:sz w:val="20"/>
          <w:szCs w:val="28"/>
        </w:rPr>
        <w:t>maximum building envelope</w:t>
      </w:r>
      <w:r w:rsidR="00CB3495" w:rsidRPr="0017462C">
        <w:rPr>
          <w:sz w:val="20"/>
          <w:szCs w:val="28"/>
        </w:rPr>
        <w:t xml:space="preserve"> </w:t>
      </w:r>
      <w:r w:rsidR="002C6BBD" w:rsidRPr="0017462C">
        <w:rPr>
          <w:sz w:val="20"/>
          <w:szCs w:val="28"/>
        </w:rPr>
        <w:t xml:space="preserve">illustrated </w:t>
      </w:r>
      <w:r w:rsidRPr="0017462C">
        <w:rPr>
          <w:sz w:val="20"/>
          <w:szCs w:val="28"/>
        </w:rPr>
        <w:t>above</w:t>
      </w:r>
      <w:r w:rsidR="00CB3495" w:rsidRPr="0017462C">
        <w:rPr>
          <w:sz w:val="20"/>
          <w:szCs w:val="28"/>
        </w:rPr>
        <w:t xml:space="preserve">, </w:t>
      </w:r>
      <w:r w:rsidRPr="0017462C">
        <w:rPr>
          <w:sz w:val="20"/>
          <w:szCs w:val="28"/>
        </w:rPr>
        <w:t xml:space="preserve">an assessment of the </w:t>
      </w:r>
      <w:r w:rsidR="002C6BBD" w:rsidRPr="0017462C">
        <w:rPr>
          <w:sz w:val="20"/>
          <w:szCs w:val="28"/>
        </w:rPr>
        <w:t xml:space="preserve">existing and </w:t>
      </w:r>
      <w:r w:rsidRPr="0017462C">
        <w:rPr>
          <w:sz w:val="20"/>
          <w:szCs w:val="28"/>
        </w:rPr>
        <w:t xml:space="preserve">emerging </w:t>
      </w:r>
      <w:r w:rsidR="002C6BBD" w:rsidRPr="0017462C">
        <w:rPr>
          <w:sz w:val="20"/>
          <w:szCs w:val="28"/>
        </w:rPr>
        <w:t xml:space="preserve">building </w:t>
      </w:r>
      <w:r w:rsidRPr="0017462C">
        <w:rPr>
          <w:sz w:val="20"/>
          <w:szCs w:val="28"/>
        </w:rPr>
        <w:t>height</w:t>
      </w:r>
      <w:r w:rsidR="002C6BBD" w:rsidRPr="0017462C">
        <w:rPr>
          <w:sz w:val="20"/>
          <w:szCs w:val="28"/>
        </w:rPr>
        <w:t xml:space="preserve"> patterns</w:t>
      </w:r>
      <w:r w:rsidRPr="0017462C">
        <w:rPr>
          <w:sz w:val="20"/>
          <w:szCs w:val="28"/>
        </w:rPr>
        <w:t xml:space="preserve"> in the context of the site</w:t>
      </w:r>
      <w:r w:rsidR="002C6BBD" w:rsidRPr="0017462C">
        <w:rPr>
          <w:sz w:val="20"/>
          <w:szCs w:val="28"/>
        </w:rPr>
        <w:t xml:space="preserve"> has also been completed</w:t>
      </w:r>
      <w:r w:rsidR="00143A2D" w:rsidRPr="0017462C">
        <w:rPr>
          <w:sz w:val="20"/>
          <w:szCs w:val="28"/>
        </w:rPr>
        <w:t xml:space="preserve"> (see Figure 2 below)</w:t>
      </w:r>
      <w:r w:rsidRPr="0017462C">
        <w:rPr>
          <w:sz w:val="20"/>
          <w:szCs w:val="28"/>
        </w:rPr>
        <w:t>. Th</w:t>
      </w:r>
      <w:r w:rsidR="002C6BBD" w:rsidRPr="0017462C">
        <w:rPr>
          <w:sz w:val="20"/>
          <w:szCs w:val="28"/>
        </w:rPr>
        <w:t>is includes the future building heights</w:t>
      </w:r>
      <w:r w:rsidRPr="0017462C">
        <w:rPr>
          <w:sz w:val="20"/>
          <w:szCs w:val="28"/>
        </w:rPr>
        <w:t xml:space="preserve"> set out by the Arden </w:t>
      </w:r>
      <w:r w:rsidR="00296D17" w:rsidRPr="0017462C">
        <w:rPr>
          <w:sz w:val="20"/>
          <w:szCs w:val="28"/>
        </w:rPr>
        <w:t>Structure Plan</w:t>
      </w:r>
      <w:r w:rsidRPr="0017462C">
        <w:rPr>
          <w:sz w:val="20"/>
          <w:szCs w:val="28"/>
        </w:rPr>
        <w:t xml:space="preserve">, which </w:t>
      </w:r>
      <w:r w:rsidR="00C8535F" w:rsidRPr="0017462C">
        <w:rPr>
          <w:sz w:val="20"/>
          <w:szCs w:val="28"/>
        </w:rPr>
        <w:t>outlines</w:t>
      </w:r>
      <w:r w:rsidRPr="0017462C">
        <w:rPr>
          <w:sz w:val="20"/>
          <w:szCs w:val="28"/>
        </w:rPr>
        <w:t xml:space="preserve"> that the area will undergo significant change. </w:t>
      </w:r>
    </w:p>
    <w:p w14:paraId="22528222" w14:textId="77777777" w:rsidR="009D0E3C" w:rsidRPr="0017462C" w:rsidRDefault="009D0E3C" w:rsidP="008D525D">
      <w:pPr>
        <w:spacing w:before="120" w:line="280" w:lineRule="atLeast"/>
        <w:jc w:val="both"/>
        <w:rPr>
          <w:sz w:val="20"/>
          <w:szCs w:val="28"/>
        </w:rPr>
      </w:pPr>
    </w:p>
    <w:p w14:paraId="499FB396" w14:textId="17D019C4" w:rsidR="002C6BBD" w:rsidRPr="0017462C" w:rsidRDefault="00B05BD3" w:rsidP="008D525D">
      <w:pPr>
        <w:spacing w:before="120" w:line="280" w:lineRule="atLeast"/>
        <w:jc w:val="both"/>
        <w:rPr>
          <w:sz w:val="20"/>
          <w:szCs w:val="28"/>
        </w:rPr>
      </w:pPr>
      <w:r w:rsidRPr="0017462C">
        <w:rPr>
          <w:sz w:val="20"/>
          <w:szCs w:val="28"/>
        </w:rPr>
        <w:t>The</w:t>
      </w:r>
      <w:r w:rsidR="002C6BBD" w:rsidRPr="0017462C">
        <w:rPr>
          <w:sz w:val="20"/>
          <w:szCs w:val="28"/>
        </w:rPr>
        <w:t xml:space="preserve"> pattern of</w:t>
      </w:r>
      <w:r w:rsidRPr="0017462C">
        <w:rPr>
          <w:sz w:val="20"/>
          <w:szCs w:val="28"/>
        </w:rPr>
        <w:t xml:space="preserve"> </w:t>
      </w:r>
      <w:r w:rsidR="002C6BBD" w:rsidRPr="0017462C">
        <w:rPr>
          <w:sz w:val="20"/>
          <w:szCs w:val="28"/>
        </w:rPr>
        <w:t xml:space="preserve">maximum building </w:t>
      </w:r>
      <w:r w:rsidR="00D505A5" w:rsidRPr="0017462C">
        <w:rPr>
          <w:sz w:val="20"/>
          <w:szCs w:val="28"/>
        </w:rPr>
        <w:t>heights</w:t>
      </w:r>
      <w:r w:rsidRPr="0017462C">
        <w:rPr>
          <w:sz w:val="20"/>
          <w:szCs w:val="28"/>
        </w:rPr>
        <w:t xml:space="preserve"> in proximity to the site </w:t>
      </w:r>
      <w:r w:rsidR="00A51042" w:rsidRPr="0017462C">
        <w:rPr>
          <w:sz w:val="20"/>
          <w:szCs w:val="28"/>
        </w:rPr>
        <w:t xml:space="preserve">is </w:t>
      </w:r>
      <w:r w:rsidR="00743BD1" w:rsidRPr="0017462C">
        <w:rPr>
          <w:sz w:val="20"/>
          <w:szCs w:val="28"/>
        </w:rPr>
        <w:t>characterised</w:t>
      </w:r>
      <w:r w:rsidR="002C6BBD" w:rsidRPr="0017462C">
        <w:rPr>
          <w:sz w:val="20"/>
          <w:szCs w:val="28"/>
        </w:rPr>
        <w:t xml:space="preserve"> by</w:t>
      </w:r>
      <w:r w:rsidR="00336A91" w:rsidRPr="0017462C">
        <w:rPr>
          <w:sz w:val="20"/>
          <w:szCs w:val="28"/>
        </w:rPr>
        <w:t xml:space="preserve"> predominantly 3-4 storeys</w:t>
      </w:r>
      <w:r w:rsidR="00F05E6F" w:rsidRPr="0017462C">
        <w:rPr>
          <w:sz w:val="20"/>
          <w:szCs w:val="28"/>
        </w:rPr>
        <w:t>.</w:t>
      </w:r>
      <w:r w:rsidR="00A51042" w:rsidRPr="0017462C">
        <w:rPr>
          <w:sz w:val="20"/>
          <w:szCs w:val="28"/>
        </w:rPr>
        <w:t xml:space="preserve"> </w:t>
      </w:r>
      <w:r w:rsidR="00F05E6F" w:rsidRPr="0017462C">
        <w:rPr>
          <w:sz w:val="20"/>
          <w:szCs w:val="28"/>
        </w:rPr>
        <w:t>The allowable height of buildings within the Arden Precinct will see a significant intensification of tall buildings in the immediate area. To the south-west of the site, heights are expected to vary between 6 to 18 storeys.</w:t>
      </w:r>
    </w:p>
    <w:p w14:paraId="19ADF886" w14:textId="77777777" w:rsidR="00143A2D" w:rsidRPr="0017462C" w:rsidRDefault="00143A2D" w:rsidP="008D525D">
      <w:pPr>
        <w:pStyle w:val="ESNumberedBullet1"/>
        <w:spacing w:before="120" w:line="280" w:lineRule="atLeast"/>
        <w:rPr>
          <w:sz w:val="20"/>
          <w:szCs w:val="28"/>
        </w:rPr>
      </w:pPr>
      <w:r w:rsidRPr="0017462C">
        <w:rPr>
          <w:sz w:val="20"/>
          <w:szCs w:val="28"/>
        </w:rPr>
        <w:t xml:space="preserve">Melbourne </w:t>
      </w:r>
      <w:r w:rsidR="00743BD1" w:rsidRPr="0017462C">
        <w:rPr>
          <w:sz w:val="20"/>
          <w:szCs w:val="28"/>
        </w:rPr>
        <w:t>Mills Building</w:t>
      </w:r>
      <w:r w:rsidRPr="0017462C">
        <w:rPr>
          <w:sz w:val="20"/>
          <w:szCs w:val="28"/>
        </w:rPr>
        <w:t xml:space="preserve"> at </w:t>
      </w:r>
      <w:r w:rsidR="00743BD1" w:rsidRPr="0017462C">
        <w:rPr>
          <w:sz w:val="20"/>
          <w:szCs w:val="28"/>
        </w:rPr>
        <w:t>20.98m</w:t>
      </w:r>
    </w:p>
    <w:p w14:paraId="03EFB2F6" w14:textId="3B123CB0" w:rsidR="00143A2D" w:rsidRPr="0017462C" w:rsidRDefault="00143A2D" w:rsidP="008D525D">
      <w:pPr>
        <w:pStyle w:val="ESNumberedBullet1"/>
        <w:spacing w:before="120" w:line="280" w:lineRule="atLeast"/>
        <w:rPr>
          <w:sz w:val="20"/>
          <w:szCs w:val="28"/>
        </w:rPr>
      </w:pPr>
      <w:r w:rsidRPr="0017462C">
        <w:rPr>
          <w:sz w:val="20"/>
          <w:szCs w:val="28"/>
        </w:rPr>
        <w:t xml:space="preserve">Land to the south-west within the Arden Precinct, where building heights will be 6-18 </w:t>
      </w:r>
      <w:r w:rsidR="00057529" w:rsidRPr="0017462C">
        <w:rPr>
          <w:sz w:val="20"/>
          <w:szCs w:val="28"/>
        </w:rPr>
        <w:t>storeys.</w:t>
      </w:r>
      <w:r w:rsidRPr="0017462C">
        <w:rPr>
          <w:sz w:val="20"/>
          <w:szCs w:val="28"/>
        </w:rPr>
        <w:t xml:space="preserve"> </w:t>
      </w:r>
    </w:p>
    <w:p w14:paraId="45CEC246" w14:textId="600FD13F" w:rsidR="00743BD1" w:rsidRPr="0017462C" w:rsidRDefault="00743BD1" w:rsidP="008D525D">
      <w:pPr>
        <w:pStyle w:val="ESNumberedBullet1"/>
        <w:spacing w:before="120" w:line="280" w:lineRule="atLeast"/>
        <w:rPr>
          <w:sz w:val="20"/>
          <w:szCs w:val="28"/>
        </w:rPr>
      </w:pPr>
      <w:r w:rsidRPr="0017462C">
        <w:rPr>
          <w:sz w:val="20"/>
          <w:szCs w:val="28"/>
        </w:rPr>
        <w:t xml:space="preserve"> The existing maximum height of the ‘DHHS Building’ to the north of 14.78m </w:t>
      </w:r>
    </w:p>
    <w:p w14:paraId="59DB3A62" w14:textId="29D7C226" w:rsidR="00143A2D" w:rsidRPr="0017462C" w:rsidRDefault="00143A2D" w:rsidP="008D525D">
      <w:pPr>
        <w:pStyle w:val="ESNumberedBullet1"/>
        <w:spacing w:before="120" w:line="280" w:lineRule="atLeast"/>
        <w:rPr>
          <w:sz w:val="20"/>
          <w:szCs w:val="28"/>
        </w:rPr>
      </w:pPr>
      <w:r w:rsidRPr="0017462C">
        <w:rPr>
          <w:sz w:val="20"/>
          <w:szCs w:val="28"/>
        </w:rPr>
        <w:t>The existing height limits to the north and south of up to 4 storeys.</w:t>
      </w:r>
    </w:p>
    <w:p w14:paraId="2F9E0434" w14:textId="424349D5" w:rsidR="00782A9E" w:rsidRPr="0017462C" w:rsidRDefault="00782A9E" w:rsidP="008D525D">
      <w:pPr>
        <w:spacing w:before="120" w:line="280" w:lineRule="atLeast"/>
        <w:jc w:val="both"/>
        <w:rPr>
          <w:sz w:val="20"/>
          <w:szCs w:val="28"/>
        </w:rPr>
      </w:pPr>
      <w:r w:rsidRPr="0017462C">
        <w:rPr>
          <w:sz w:val="20"/>
          <w:szCs w:val="28"/>
        </w:rPr>
        <w:t xml:space="preserve">The indicative building height outcomes in </w:t>
      </w:r>
      <w:r w:rsidRPr="008D525D">
        <w:rPr>
          <w:b/>
          <w:bCs/>
          <w:sz w:val="20"/>
          <w:szCs w:val="28"/>
        </w:rPr>
        <w:t>Figure 7</w:t>
      </w:r>
      <w:r w:rsidRPr="0017462C">
        <w:rPr>
          <w:sz w:val="20"/>
          <w:szCs w:val="28"/>
        </w:rPr>
        <w:t>, are an appropriate response and would ensure an appropriate built form outcome at the subject site.</w:t>
      </w:r>
    </w:p>
    <w:p w14:paraId="3939FE85" w14:textId="77777777" w:rsidR="00336A91" w:rsidRDefault="00336A91" w:rsidP="00743BD1"/>
    <w:p w14:paraId="437A3014" w14:textId="77777777" w:rsidR="00743BD1" w:rsidRDefault="00743BD1" w:rsidP="00743BD1">
      <w:r>
        <w:rPr>
          <w:noProof/>
        </w:rPr>
        <w:drawing>
          <wp:inline distT="0" distB="0" distL="0" distR="0" wp14:anchorId="419346A2" wp14:editId="5329B305">
            <wp:extent cx="4184650" cy="3744553"/>
            <wp:effectExtent l="0" t="0" r="6350" b="8890"/>
            <wp:docPr id="12" name="Picture 12" descr="Map showing accepted maximum building heights of sites surrounding the subject site.&#10;&#10;Building heights south of Arden Street can be built up to 4 storeys. Building north of Arden Street and the subject site can be built to 3-4 storeys. &#10;&#10;Buildings in the Arden precinct have maximum building heights varying from 3 storeys to 40 stor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 showing accepted maximum building heights of sites surrounding the subject site.&#10;&#10;Building heights south of Arden Street can be built up to 4 storeys. Building north of Arden Street and the subject site can be built to 3-4 storeys. &#10;&#10;Buildings in the Arden precinct have maximum building heights varying from 3 storeys to 40 storeys.  "/>
                    <pic:cNvPicPr/>
                  </pic:nvPicPr>
                  <pic:blipFill>
                    <a:blip r:embed="rId21"/>
                    <a:stretch>
                      <a:fillRect/>
                    </a:stretch>
                  </pic:blipFill>
                  <pic:spPr>
                    <a:xfrm>
                      <a:off x="0" y="0"/>
                      <a:ext cx="4192081" cy="3751202"/>
                    </a:xfrm>
                    <a:prstGeom prst="rect">
                      <a:avLst/>
                    </a:prstGeom>
                  </pic:spPr>
                </pic:pic>
              </a:graphicData>
            </a:graphic>
          </wp:inline>
        </w:drawing>
      </w:r>
      <w:r w:rsidRPr="0077165D">
        <w:rPr>
          <w:noProof/>
        </w:rPr>
        <w:t xml:space="preserve"> </w:t>
      </w:r>
      <w:r>
        <w:rPr>
          <w:noProof/>
        </w:rPr>
        <w:drawing>
          <wp:inline distT="0" distB="0" distL="0" distR="0" wp14:anchorId="6A833BAE" wp14:editId="47956A70">
            <wp:extent cx="1030119" cy="37242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39771" cy="3759172"/>
                    </a:xfrm>
                    <a:prstGeom prst="rect">
                      <a:avLst/>
                    </a:prstGeom>
                  </pic:spPr>
                </pic:pic>
              </a:graphicData>
            </a:graphic>
          </wp:inline>
        </w:drawing>
      </w:r>
    </w:p>
    <w:p w14:paraId="0563529A" w14:textId="45AF02EE" w:rsidR="00743BD1" w:rsidRPr="00057529" w:rsidRDefault="00143A2D" w:rsidP="00057529">
      <w:pPr>
        <w:pStyle w:val="Caption"/>
        <w:jc w:val="both"/>
        <w:rPr>
          <w:i w:val="0"/>
          <w:iCs w:val="0"/>
        </w:rPr>
      </w:pPr>
      <w:r w:rsidRPr="00B40777">
        <w:rPr>
          <w:i w:val="0"/>
          <w:iCs w:val="0"/>
        </w:rPr>
        <w:t xml:space="preserve">Figure </w:t>
      </w:r>
      <w:r w:rsidRPr="00B40777">
        <w:t>2</w:t>
      </w:r>
      <w:r w:rsidRPr="00B40777">
        <w:rPr>
          <w:i w:val="0"/>
          <w:iCs w:val="0"/>
        </w:rPr>
        <w:tab/>
        <w:t>Building Height Context</w:t>
      </w:r>
    </w:p>
    <w:p w14:paraId="4D723A78" w14:textId="77777777" w:rsidR="00F25124" w:rsidRPr="00004416" w:rsidRDefault="00F25124" w:rsidP="00004416">
      <w:pPr>
        <w:pStyle w:val="Heading2"/>
      </w:pPr>
      <w:bookmarkStart w:id="71" w:name="_Toc152146945"/>
      <w:r w:rsidRPr="00004416">
        <w:lastRenderedPageBreak/>
        <w:t xml:space="preserve">Response to the PPF </w:t>
      </w:r>
      <w:bookmarkEnd w:id="71"/>
    </w:p>
    <w:p w14:paraId="3239FF43" w14:textId="77777777" w:rsidR="00F25124" w:rsidRDefault="00F25124" w:rsidP="008D525D">
      <w:pPr>
        <w:spacing w:before="120" w:line="280" w:lineRule="atLeast"/>
        <w:jc w:val="both"/>
        <w:rPr>
          <w:sz w:val="20"/>
          <w:szCs w:val="28"/>
        </w:rPr>
      </w:pPr>
      <w:bookmarkStart w:id="72" w:name="_Hlk131518962"/>
      <w:r w:rsidRPr="0017462C">
        <w:rPr>
          <w:sz w:val="20"/>
          <w:szCs w:val="28"/>
        </w:rPr>
        <w:t xml:space="preserve">The PPF provides a high-level strategic framework for land use and development. The policies outlined above enable planning at a municipal level and guide the formulation of local policies to implement good planning outcomes. </w:t>
      </w:r>
    </w:p>
    <w:p w14:paraId="409B2976" w14:textId="77777777" w:rsidR="008D525D" w:rsidRPr="0017462C" w:rsidRDefault="008D525D" w:rsidP="008D525D">
      <w:pPr>
        <w:spacing w:before="120" w:line="280" w:lineRule="atLeast"/>
        <w:jc w:val="both"/>
        <w:rPr>
          <w:sz w:val="20"/>
          <w:szCs w:val="28"/>
        </w:rPr>
      </w:pPr>
    </w:p>
    <w:p w14:paraId="0FA7954F" w14:textId="37F767E2" w:rsidR="00177460" w:rsidRPr="0017462C" w:rsidRDefault="00F25124" w:rsidP="008D525D">
      <w:pPr>
        <w:spacing w:before="120" w:line="280" w:lineRule="atLeast"/>
        <w:jc w:val="both"/>
        <w:rPr>
          <w:sz w:val="20"/>
          <w:szCs w:val="28"/>
        </w:rPr>
      </w:pPr>
      <w:r w:rsidRPr="0017462C">
        <w:rPr>
          <w:sz w:val="20"/>
          <w:szCs w:val="28"/>
        </w:rPr>
        <w:t xml:space="preserve">The planning scheme amendment proposes to rezone land to form part of the MUZ will ensure that the zone will reflect the correct land use and will also ensure that, the site remains in an appropriate zone when considered in the wider context. </w:t>
      </w:r>
    </w:p>
    <w:p w14:paraId="6B0E8E98" w14:textId="2D1DB3AF" w:rsidR="00E2534D" w:rsidRPr="008C6A3A" w:rsidRDefault="00AD606A" w:rsidP="00B05BD3">
      <w:pPr>
        <w:pStyle w:val="Heading2"/>
      </w:pPr>
      <w:bookmarkStart w:id="73" w:name="_Toc152146946"/>
      <w:bookmarkEnd w:id="72"/>
      <w:r w:rsidRPr="008C6A3A">
        <w:t xml:space="preserve">Response to </w:t>
      </w:r>
      <w:r w:rsidR="005051BD" w:rsidRPr="008C6A3A">
        <w:t xml:space="preserve">Heritage </w:t>
      </w:r>
      <w:r w:rsidRPr="008C6A3A">
        <w:t>Overlay</w:t>
      </w:r>
      <w:r w:rsidR="005051BD" w:rsidRPr="008C6A3A">
        <w:t xml:space="preserve"> 3</w:t>
      </w:r>
      <w:bookmarkEnd w:id="73"/>
      <w:r w:rsidR="005051BD" w:rsidRPr="008C6A3A">
        <w:t xml:space="preserve"> </w:t>
      </w:r>
    </w:p>
    <w:p w14:paraId="21EC5170" w14:textId="32DAFD36" w:rsidR="00334FCE" w:rsidRDefault="00E2534D" w:rsidP="008D525D">
      <w:pPr>
        <w:spacing w:before="120" w:line="280" w:lineRule="atLeast"/>
        <w:jc w:val="both"/>
        <w:rPr>
          <w:sz w:val="20"/>
          <w:szCs w:val="28"/>
        </w:rPr>
      </w:pPr>
      <w:r w:rsidRPr="0017462C">
        <w:rPr>
          <w:sz w:val="20"/>
          <w:szCs w:val="28"/>
        </w:rPr>
        <w:t xml:space="preserve">In response to the Heritage Overlay that applies to the site, a Letter of Support has been prepared by Trethowan Architecture. The letter can be found in Appendix </w:t>
      </w:r>
      <w:r w:rsidR="00334FCE" w:rsidRPr="0017462C">
        <w:rPr>
          <w:sz w:val="20"/>
          <w:szCs w:val="28"/>
        </w:rPr>
        <w:t>D</w:t>
      </w:r>
      <w:r w:rsidRPr="0017462C">
        <w:rPr>
          <w:sz w:val="20"/>
          <w:szCs w:val="28"/>
        </w:rPr>
        <w:t xml:space="preserve"> of the report. </w:t>
      </w:r>
    </w:p>
    <w:p w14:paraId="4D754E68" w14:textId="77777777" w:rsidR="008D525D" w:rsidRPr="0017462C" w:rsidRDefault="008D525D" w:rsidP="008D525D">
      <w:pPr>
        <w:spacing w:before="120" w:line="280" w:lineRule="atLeast"/>
        <w:jc w:val="both"/>
        <w:rPr>
          <w:sz w:val="20"/>
          <w:szCs w:val="28"/>
        </w:rPr>
      </w:pPr>
    </w:p>
    <w:p w14:paraId="055BE346" w14:textId="02B2D6EF" w:rsidR="005A059A" w:rsidRPr="0017462C" w:rsidRDefault="00C8535F" w:rsidP="008D525D">
      <w:pPr>
        <w:spacing w:before="120" w:line="280" w:lineRule="atLeast"/>
        <w:jc w:val="both"/>
        <w:rPr>
          <w:sz w:val="20"/>
          <w:szCs w:val="28"/>
        </w:rPr>
      </w:pPr>
      <w:r w:rsidRPr="0017462C">
        <w:rPr>
          <w:sz w:val="20"/>
          <w:szCs w:val="28"/>
        </w:rPr>
        <w:t xml:space="preserve">The letter concludes that: </w:t>
      </w:r>
    </w:p>
    <w:p w14:paraId="1B179428" w14:textId="77777777" w:rsidR="00334FCE" w:rsidRPr="0017462C" w:rsidRDefault="007B4FCC" w:rsidP="008D525D">
      <w:pPr>
        <w:pStyle w:val="ESNumberedBullet1"/>
        <w:spacing w:before="120" w:line="280" w:lineRule="atLeast"/>
        <w:rPr>
          <w:sz w:val="20"/>
          <w:szCs w:val="28"/>
        </w:rPr>
      </w:pPr>
      <w:r w:rsidRPr="0017462C">
        <w:rPr>
          <w:sz w:val="20"/>
          <w:szCs w:val="28"/>
        </w:rPr>
        <w:t>T</w:t>
      </w:r>
      <w:r w:rsidR="00E2534D" w:rsidRPr="0017462C">
        <w:rPr>
          <w:sz w:val="20"/>
          <w:szCs w:val="28"/>
        </w:rPr>
        <w:t>he proposed PSA and DDO84 request at the subject site are generally supportable from a heritage perspective.</w:t>
      </w:r>
    </w:p>
    <w:p w14:paraId="5A0F86E6" w14:textId="77777777" w:rsidR="00334FCE" w:rsidRPr="0017462C" w:rsidRDefault="00E2534D" w:rsidP="008D525D">
      <w:pPr>
        <w:pStyle w:val="ESNumberedBullet1"/>
        <w:spacing w:before="120" w:line="280" w:lineRule="atLeast"/>
        <w:rPr>
          <w:sz w:val="20"/>
          <w:szCs w:val="28"/>
        </w:rPr>
      </w:pPr>
      <w:r w:rsidRPr="0017462C">
        <w:rPr>
          <w:sz w:val="20"/>
          <w:szCs w:val="28"/>
        </w:rPr>
        <w:t xml:space="preserve">The proposed DDO constraints are limited to the later west portion of the subject site, while the historic Melbourne Mills building remains unaffected. Although future development allowed under DDO84 could potentially block views of its west façade, this is an acceptable heritage outcome because the façade has undergone extensive </w:t>
      </w:r>
      <w:r w:rsidR="007B4FCC" w:rsidRPr="0017462C">
        <w:rPr>
          <w:sz w:val="20"/>
          <w:szCs w:val="28"/>
        </w:rPr>
        <w:t>alterations and</w:t>
      </w:r>
      <w:r w:rsidRPr="0017462C">
        <w:rPr>
          <w:sz w:val="20"/>
          <w:szCs w:val="28"/>
        </w:rPr>
        <w:t xml:space="preserve"> does not contribute to the heritage significance of the building. </w:t>
      </w:r>
    </w:p>
    <w:p w14:paraId="0B7DAED1" w14:textId="6F0BE044" w:rsidR="00334FCE" w:rsidRPr="0017462C" w:rsidRDefault="00E2534D" w:rsidP="008D525D">
      <w:pPr>
        <w:pStyle w:val="ESNumberedBullet1"/>
        <w:spacing w:before="120" w:line="280" w:lineRule="atLeast"/>
        <w:rPr>
          <w:sz w:val="20"/>
          <w:szCs w:val="28"/>
        </w:rPr>
      </w:pPr>
      <w:r w:rsidRPr="0017462C">
        <w:rPr>
          <w:sz w:val="20"/>
          <w:szCs w:val="28"/>
        </w:rPr>
        <w:t>The proposed</w:t>
      </w:r>
      <w:r w:rsidR="006A12D0" w:rsidRPr="0017462C">
        <w:rPr>
          <w:sz w:val="20"/>
          <w:szCs w:val="28"/>
        </w:rPr>
        <w:t xml:space="preserve"> staggered height limit, with a maximum</w:t>
      </w:r>
      <w:r w:rsidRPr="0017462C">
        <w:rPr>
          <w:sz w:val="20"/>
          <w:szCs w:val="28"/>
        </w:rPr>
        <w:t xml:space="preserve"> </w:t>
      </w:r>
      <w:r w:rsidR="006A12D0" w:rsidRPr="0017462C">
        <w:rPr>
          <w:sz w:val="20"/>
          <w:szCs w:val="28"/>
        </w:rPr>
        <w:t xml:space="preserve">of </w:t>
      </w:r>
      <w:r w:rsidRPr="0017462C">
        <w:rPr>
          <w:sz w:val="20"/>
          <w:szCs w:val="28"/>
        </w:rPr>
        <w:t xml:space="preserve">20m under DDO84 appropriately responds to the scale of the Melbourne Mills building and does not detract from its significance and character. </w:t>
      </w:r>
      <w:r w:rsidR="006A12D0" w:rsidRPr="0017462C">
        <w:rPr>
          <w:sz w:val="20"/>
          <w:szCs w:val="28"/>
        </w:rPr>
        <w:t>Similarly, the 9.1m set-back at the north ensures that future development would not have adverse effects on the adjoining land uses.</w:t>
      </w:r>
    </w:p>
    <w:p w14:paraId="3386E5EA" w14:textId="77777777" w:rsidR="00334FCE" w:rsidRPr="0017462C" w:rsidRDefault="00E2534D" w:rsidP="008D525D">
      <w:pPr>
        <w:pStyle w:val="ESNumberedBullet1"/>
        <w:spacing w:before="120" w:line="280" w:lineRule="atLeast"/>
        <w:rPr>
          <w:sz w:val="20"/>
          <w:szCs w:val="28"/>
        </w:rPr>
      </w:pPr>
      <w:r w:rsidRPr="0017462C">
        <w:rPr>
          <w:sz w:val="20"/>
          <w:szCs w:val="28"/>
        </w:rPr>
        <w:t xml:space="preserve">While DDO84 enables additional height to the western portion of the subject site, it should only be considered as a general guideline for the maximum allowable building envelope at the subject site. </w:t>
      </w:r>
    </w:p>
    <w:p w14:paraId="75AF5254" w14:textId="4CC16D32" w:rsidR="00AD606A" w:rsidRPr="0017462C" w:rsidRDefault="00E2534D" w:rsidP="008D525D">
      <w:pPr>
        <w:pStyle w:val="ESNumberedBullet1"/>
        <w:spacing w:before="120" w:line="280" w:lineRule="atLeast"/>
        <w:rPr>
          <w:sz w:val="20"/>
          <w:szCs w:val="28"/>
        </w:rPr>
      </w:pPr>
      <w:r w:rsidRPr="0017462C">
        <w:rPr>
          <w:sz w:val="20"/>
          <w:szCs w:val="28"/>
        </w:rPr>
        <w:t xml:space="preserve">Other factors not outlined in the PSA request, </w:t>
      </w:r>
      <w:r w:rsidR="009D0E3C" w:rsidRPr="0017462C">
        <w:rPr>
          <w:sz w:val="20"/>
          <w:szCs w:val="28"/>
        </w:rPr>
        <w:t>i.e.,</w:t>
      </w:r>
      <w:r w:rsidRPr="0017462C">
        <w:rPr>
          <w:sz w:val="20"/>
          <w:szCs w:val="28"/>
        </w:rPr>
        <w:t xml:space="preserve"> design, form, materials, and openings, are also fundamental contributing factors that may affect how the heritage significance of the subject site is perceived. These aspects of any future development would need to comply with other Planning Scheme controls, including the HO, which provides confidence that new work would not detract from the heritage significance of the Melbourne Mills building.</w:t>
      </w:r>
    </w:p>
    <w:p w14:paraId="56D304BF" w14:textId="05F0E7DF" w:rsidR="00F25124" w:rsidRPr="00004416" w:rsidRDefault="00F25124" w:rsidP="00004416">
      <w:pPr>
        <w:pStyle w:val="Heading2"/>
      </w:pPr>
      <w:bookmarkStart w:id="74" w:name="_Toc152146947"/>
      <w:r w:rsidRPr="00004416">
        <w:t xml:space="preserve">Response to the Zone Provisions </w:t>
      </w:r>
      <w:bookmarkEnd w:id="74"/>
    </w:p>
    <w:p w14:paraId="7869FDEE" w14:textId="2D3607B8" w:rsidR="00F25124" w:rsidRPr="0017462C" w:rsidRDefault="00F25124" w:rsidP="008D525D">
      <w:pPr>
        <w:spacing w:before="120" w:line="280" w:lineRule="atLeast"/>
        <w:jc w:val="both"/>
        <w:rPr>
          <w:sz w:val="20"/>
          <w:szCs w:val="28"/>
        </w:rPr>
      </w:pPr>
      <w:r w:rsidRPr="0017462C">
        <w:rPr>
          <w:sz w:val="20"/>
          <w:szCs w:val="28"/>
        </w:rPr>
        <w:t xml:space="preserve">As identified in the above, the existing use and ownership of the site is inconsistent with the purpose of the GRZ1.  This Amendment seeks to undertake a site-specific zoning change to apply the MUZ, which will better reflect the existing use on the site and will also ensure that alternative uses are </w:t>
      </w:r>
      <w:r w:rsidR="00057529" w:rsidRPr="0017462C">
        <w:rPr>
          <w:sz w:val="20"/>
          <w:szCs w:val="28"/>
        </w:rPr>
        <w:t>not</w:t>
      </w:r>
      <w:r w:rsidRPr="0017462C">
        <w:rPr>
          <w:sz w:val="20"/>
          <w:szCs w:val="28"/>
        </w:rPr>
        <w:t xml:space="preserve"> precluded in the future. </w:t>
      </w:r>
    </w:p>
    <w:p w14:paraId="35C1FD00" w14:textId="6E13AD8F" w:rsidR="00A37DE0" w:rsidRPr="0017462C" w:rsidRDefault="00A37DE0" w:rsidP="008D525D">
      <w:pPr>
        <w:spacing w:before="120" w:line="280" w:lineRule="atLeast"/>
        <w:jc w:val="both"/>
        <w:rPr>
          <w:sz w:val="20"/>
          <w:szCs w:val="28"/>
        </w:rPr>
      </w:pPr>
    </w:p>
    <w:p w14:paraId="03B3C532" w14:textId="655A4A48" w:rsidR="00A37DE0" w:rsidRPr="0017462C" w:rsidRDefault="00A37DE0" w:rsidP="008D525D">
      <w:pPr>
        <w:spacing w:before="120" w:line="280" w:lineRule="atLeast"/>
        <w:jc w:val="both"/>
        <w:rPr>
          <w:sz w:val="20"/>
          <w:szCs w:val="28"/>
        </w:rPr>
      </w:pPr>
      <w:r w:rsidRPr="0017462C">
        <w:rPr>
          <w:sz w:val="20"/>
          <w:szCs w:val="28"/>
        </w:rPr>
        <w:t xml:space="preserve">We consider that the amendment will ensure the zones are appropriately applied as: </w:t>
      </w:r>
    </w:p>
    <w:p w14:paraId="389C63E4" w14:textId="63B0E027" w:rsidR="00C86C27" w:rsidRPr="0017462C" w:rsidRDefault="00205469" w:rsidP="008D525D">
      <w:pPr>
        <w:pStyle w:val="ESNumberedBullet1"/>
        <w:spacing w:before="120" w:line="280" w:lineRule="atLeast"/>
        <w:rPr>
          <w:sz w:val="20"/>
          <w:szCs w:val="28"/>
        </w:rPr>
      </w:pPr>
      <w:r w:rsidRPr="0017462C">
        <w:rPr>
          <w:sz w:val="20"/>
          <w:szCs w:val="28"/>
        </w:rPr>
        <w:t xml:space="preserve">Most zones that are considered a ‘residential’ land use </w:t>
      </w:r>
      <w:r w:rsidR="00A37DE0" w:rsidRPr="0017462C">
        <w:rPr>
          <w:sz w:val="20"/>
          <w:szCs w:val="28"/>
        </w:rPr>
        <w:t xml:space="preserve">(including the RGZ and GRZ) are not considered compatible with the </w:t>
      </w:r>
      <w:r w:rsidR="007D67A0" w:rsidRPr="0017462C">
        <w:rPr>
          <w:sz w:val="20"/>
          <w:szCs w:val="28"/>
        </w:rPr>
        <w:t xml:space="preserve">historic and ongoing use of the </w:t>
      </w:r>
      <w:r w:rsidR="00A37DE0" w:rsidRPr="0017462C">
        <w:rPr>
          <w:sz w:val="20"/>
          <w:szCs w:val="28"/>
        </w:rPr>
        <w:t>site.</w:t>
      </w:r>
    </w:p>
    <w:p w14:paraId="6B866B02" w14:textId="7189D4A8" w:rsidR="00C86C27" w:rsidRPr="0017462C" w:rsidRDefault="00A37DE0" w:rsidP="008D525D">
      <w:pPr>
        <w:pStyle w:val="ESNumberedBullet1"/>
        <w:spacing w:before="120" w:line="280" w:lineRule="atLeast"/>
        <w:rPr>
          <w:sz w:val="20"/>
          <w:szCs w:val="28"/>
        </w:rPr>
      </w:pPr>
      <w:r w:rsidRPr="0017462C">
        <w:rPr>
          <w:sz w:val="20"/>
          <w:szCs w:val="28"/>
        </w:rPr>
        <w:t xml:space="preserve">In a sequential sense, the next most appropriate zone would be the MUZ. </w:t>
      </w:r>
      <w:r w:rsidR="008035F7" w:rsidRPr="0017462C">
        <w:rPr>
          <w:sz w:val="20"/>
          <w:szCs w:val="28"/>
        </w:rPr>
        <w:t>M</w:t>
      </w:r>
      <w:r w:rsidR="00205469" w:rsidRPr="0017462C">
        <w:rPr>
          <w:sz w:val="20"/>
          <w:szCs w:val="28"/>
        </w:rPr>
        <w:t>ost</w:t>
      </w:r>
      <w:r w:rsidRPr="0017462C">
        <w:rPr>
          <w:sz w:val="20"/>
          <w:szCs w:val="28"/>
        </w:rPr>
        <w:t xml:space="preserve"> surrounding zones are either within the GRZ or MUZ, </w:t>
      </w:r>
      <w:r w:rsidR="008035F7" w:rsidRPr="0017462C">
        <w:rPr>
          <w:sz w:val="20"/>
          <w:szCs w:val="28"/>
        </w:rPr>
        <w:t>making</w:t>
      </w:r>
      <w:r w:rsidRPr="0017462C">
        <w:rPr>
          <w:sz w:val="20"/>
          <w:szCs w:val="28"/>
        </w:rPr>
        <w:t xml:space="preserve"> </w:t>
      </w:r>
      <w:r w:rsidR="006E23A8" w:rsidRPr="0017462C">
        <w:rPr>
          <w:sz w:val="20"/>
          <w:szCs w:val="28"/>
        </w:rPr>
        <w:t>this the</w:t>
      </w:r>
      <w:r w:rsidRPr="0017462C">
        <w:rPr>
          <w:sz w:val="20"/>
          <w:szCs w:val="28"/>
        </w:rPr>
        <w:t xml:space="preserve"> most compatible with the site.</w:t>
      </w:r>
    </w:p>
    <w:p w14:paraId="620D343D" w14:textId="768F8F3E" w:rsidR="00205469" w:rsidRPr="0017462C" w:rsidRDefault="00A37DE0" w:rsidP="008D525D">
      <w:pPr>
        <w:pStyle w:val="ESNumberedBullet1"/>
        <w:spacing w:before="120" w:line="280" w:lineRule="atLeast"/>
        <w:rPr>
          <w:sz w:val="20"/>
          <w:szCs w:val="28"/>
        </w:rPr>
      </w:pPr>
      <w:r w:rsidRPr="0017462C">
        <w:rPr>
          <w:sz w:val="20"/>
          <w:szCs w:val="28"/>
        </w:rPr>
        <w:lastRenderedPageBreak/>
        <w:t xml:space="preserve">Commercial Zones have also been </w:t>
      </w:r>
      <w:r w:rsidR="00205469" w:rsidRPr="0017462C">
        <w:rPr>
          <w:sz w:val="20"/>
          <w:szCs w:val="28"/>
        </w:rPr>
        <w:t>considered;</w:t>
      </w:r>
      <w:r w:rsidRPr="0017462C">
        <w:rPr>
          <w:sz w:val="20"/>
          <w:szCs w:val="28"/>
        </w:rPr>
        <w:t xml:space="preserve"> </w:t>
      </w:r>
      <w:r w:rsidR="00540934" w:rsidRPr="0017462C">
        <w:rPr>
          <w:sz w:val="20"/>
          <w:szCs w:val="28"/>
        </w:rPr>
        <w:t>however,</w:t>
      </w:r>
      <w:r w:rsidRPr="0017462C">
        <w:rPr>
          <w:sz w:val="20"/>
          <w:szCs w:val="28"/>
        </w:rPr>
        <w:t xml:space="preserve"> these would be inappropriate for the site and the </w:t>
      </w:r>
      <w:r w:rsidR="00205469" w:rsidRPr="0017462C">
        <w:rPr>
          <w:sz w:val="20"/>
          <w:szCs w:val="28"/>
        </w:rPr>
        <w:t>surrounding</w:t>
      </w:r>
      <w:r w:rsidRPr="0017462C">
        <w:rPr>
          <w:sz w:val="20"/>
          <w:szCs w:val="28"/>
        </w:rPr>
        <w:t xml:space="preserve"> conte</w:t>
      </w:r>
      <w:r w:rsidR="00205469" w:rsidRPr="0017462C">
        <w:rPr>
          <w:sz w:val="20"/>
          <w:szCs w:val="28"/>
        </w:rPr>
        <w:t xml:space="preserve">xt as they could allow for more intensive land uses that </w:t>
      </w:r>
      <w:r w:rsidR="00540934" w:rsidRPr="0017462C">
        <w:rPr>
          <w:sz w:val="20"/>
          <w:szCs w:val="28"/>
        </w:rPr>
        <w:t>could</w:t>
      </w:r>
      <w:r w:rsidR="00205469" w:rsidRPr="0017462C">
        <w:rPr>
          <w:sz w:val="20"/>
          <w:szCs w:val="28"/>
        </w:rPr>
        <w:t xml:space="preserve"> be </w:t>
      </w:r>
      <w:r w:rsidR="00540934" w:rsidRPr="0017462C">
        <w:rPr>
          <w:sz w:val="20"/>
          <w:szCs w:val="28"/>
        </w:rPr>
        <w:t>detrimental</w:t>
      </w:r>
      <w:r w:rsidR="00205469" w:rsidRPr="0017462C">
        <w:rPr>
          <w:sz w:val="20"/>
          <w:szCs w:val="28"/>
        </w:rPr>
        <w:t xml:space="preserve"> to residential amenity without the need for </w:t>
      </w:r>
      <w:r w:rsidR="00540934" w:rsidRPr="0017462C">
        <w:rPr>
          <w:sz w:val="20"/>
          <w:szCs w:val="28"/>
        </w:rPr>
        <w:t>a permit</w:t>
      </w:r>
      <w:r w:rsidR="00205469" w:rsidRPr="0017462C">
        <w:rPr>
          <w:sz w:val="20"/>
          <w:szCs w:val="28"/>
        </w:rPr>
        <w:t xml:space="preserve">. </w:t>
      </w:r>
    </w:p>
    <w:p w14:paraId="29E42953" w14:textId="66567D90" w:rsidR="00A37DE0" w:rsidRPr="0017462C" w:rsidRDefault="00205469" w:rsidP="008D525D">
      <w:pPr>
        <w:pStyle w:val="ESNumberedBullet1"/>
        <w:spacing w:before="120" w:line="280" w:lineRule="atLeast"/>
        <w:rPr>
          <w:sz w:val="20"/>
          <w:szCs w:val="28"/>
        </w:rPr>
      </w:pPr>
      <w:r w:rsidRPr="0017462C">
        <w:rPr>
          <w:sz w:val="20"/>
          <w:szCs w:val="28"/>
        </w:rPr>
        <w:t xml:space="preserve">Both Commercial Zone 1 and 2 allow for a far greater suite of uses, some of which would be considered to conflict with the predominantly residential context in the immediate area. </w:t>
      </w:r>
    </w:p>
    <w:p w14:paraId="44BFDF1B" w14:textId="785E2331" w:rsidR="00F25124" w:rsidRPr="008D525D" w:rsidRDefault="00F25124" w:rsidP="008D525D">
      <w:pPr>
        <w:spacing w:before="120" w:line="280" w:lineRule="atLeast"/>
        <w:jc w:val="both"/>
        <w:rPr>
          <w:sz w:val="20"/>
          <w:szCs w:val="28"/>
        </w:rPr>
      </w:pPr>
      <w:r w:rsidRPr="0017462C">
        <w:rPr>
          <w:sz w:val="20"/>
          <w:szCs w:val="28"/>
        </w:rPr>
        <w:t>The Amendment will ensure the zones are applied correctly and</w:t>
      </w:r>
      <w:r w:rsidR="00A007B6" w:rsidRPr="0017462C">
        <w:rPr>
          <w:sz w:val="20"/>
          <w:szCs w:val="28"/>
        </w:rPr>
        <w:t xml:space="preserve"> will ensure that an </w:t>
      </w:r>
      <w:r w:rsidRPr="0017462C">
        <w:rPr>
          <w:sz w:val="20"/>
          <w:szCs w:val="28"/>
        </w:rPr>
        <w:t>appropriate zon</w:t>
      </w:r>
      <w:r w:rsidR="00A007B6" w:rsidRPr="0017462C">
        <w:rPr>
          <w:sz w:val="20"/>
          <w:szCs w:val="28"/>
        </w:rPr>
        <w:t xml:space="preserve">e will </w:t>
      </w:r>
      <w:r w:rsidRPr="0017462C">
        <w:rPr>
          <w:sz w:val="20"/>
          <w:szCs w:val="28"/>
        </w:rPr>
        <w:t>appl</w:t>
      </w:r>
      <w:r w:rsidR="00A007B6" w:rsidRPr="0017462C">
        <w:rPr>
          <w:sz w:val="20"/>
          <w:szCs w:val="28"/>
        </w:rPr>
        <w:t xml:space="preserve">y </w:t>
      </w:r>
      <w:r w:rsidRPr="0017462C">
        <w:rPr>
          <w:sz w:val="20"/>
          <w:szCs w:val="28"/>
        </w:rPr>
        <w:t>to the site</w:t>
      </w:r>
      <w:r w:rsidR="00A007B6" w:rsidRPr="0017462C">
        <w:rPr>
          <w:sz w:val="20"/>
          <w:szCs w:val="28"/>
        </w:rPr>
        <w:t xml:space="preserve">, </w:t>
      </w:r>
      <w:r w:rsidRPr="0017462C">
        <w:rPr>
          <w:sz w:val="20"/>
          <w:szCs w:val="28"/>
        </w:rPr>
        <w:t>provid</w:t>
      </w:r>
      <w:r w:rsidR="00A007B6" w:rsidRPr="0017462C">
        <w:rPr>
          <w:sz w:val="20"/>
          <w:szCs w:val="28"/>
        </w:rPr>
        <w:t xml:space="preserve">ing </w:t>
      </w:r>
      <w:r w:rsidRPr="0017462C">
        <w:rPr>
          <w:sz w:val="20"/>
          <w:szCs w:val="28"/>
        </w:rPr>
        <w:t>an improved certainty of the potential development outcomes that can occur at the subject site.</w:t>
      </w:r>
    </w:p>
    <w:p w14:paraId="693C041C" w14:textId="77777777" w:rsidR="002C5778" w:rsidRPr="00B25F56" w:rsidRDefault="002C5778" w:rsidP="00793ED4">
      <w:pPr>
        <w:rPr>
          <w:highlight w:val="yellow"/>
        </w:rPr>
      </w:pPr>
    </w:p>
    <w:p w14:paraId="4CE26751" w14:textId="592F182D" w:rsidR="00334FCE" w:rsidRDefault="00334FCE">
      <w:pPr>
        <w:spacing w:line="259" w:lineRule="auto"/>
        <w:contextualSpacing w:val="0"/>
      </w:pPr>
      <w:r>
        <w:br w:type="page"/>
      </w:r>
    </w:p>
    <w:p w14:paraId="53E95DA6" w14:textId="3FD121E4" w:rsidR="00A742FB" w:rsidRDefault="00A742FB">
      <w:pPr>
        <w:pStyle w:val="Heading1"/>
      </w:pPr>
      <w:bookmarkStart w:id="75" w:name="_Toc152146948"/>
      <w:r w:rsidRPr="00D90610">
        <w:lastRenderedPageBreak/>
        <w:t>Urban Design Assessment</w:t>
      </w:r>
      <w:bookmarkEnd w:id="75"/>
    </w:p>
    <w:p w14:paraId="5323A377" w14:textId="0AC5E8BD" w:rsidR="008F0961" w:rsidRPr="0017462C" w:rsidRDefault="008F0961" w:rsidP="008D525D">
      <w:pPr>
        <w:spacing w:before="120" w:line="280" w:lineRule="atLeast"/>
        <w:jc w:val="both"/>
        <w:rPr>
          <w:sz w:val="20"/>
          <w:szCs w:val="28"/>
        </w:rPr>
      </w:pPr>
      <w:r w:rsidRPr="0017462C">
        <w:rPr>
          <w:sz w:val="20"/>
          <w:szCs w:val="28"/>
        </w:rPr>
        <w:t xml:space="preserve">This PSA seeks to rezone the site and incorporate a DDO into the planning scheme. As this is not a permit application, details </w:t>
      </w:r>
      <w:r w:rsidR="00761351" w:rsidRPr="0017462C">
        <w:rPr>
          <w:sz w:val="20"/>
          <w:szCs w:val="28"/>
        </w:rPr>
        <w:t>of architectural</w:t>
      </w:r>
      <w:r w:rsidRPr="0017462C">
        <w:rPr>
          <w:sz w:val="20"/>
          <w:szCs w:val="28"/>
        </w:rPr>
        <w:t xml:space="preserve"> expression</w:t>
      </w:r>
      <w:r w:rsidR="005320DE" w:rsidRPr="0017462C">
        <w:rPr>
          <w:sz w:val="20"/>
          <w:szCs w:val="28"/>
        </w:rPr>
        <w:t xml:space="preserve"> and </w:t>
      </w:r>
      <w:r w:rsidRPr="0017462C">
        <w:rPr>
          <w:sz w:val="20"/>
          <w:szCs w:val="28"/>
        </w:rPr>
        <w:t xml:space="preserve">building design </w:t>
      </w:r>
      <w:r w:rsidR="005320DE" w:rsidRPr="0017462C">
        <w:rPr>
          <w:sz w:val="20"/>
          <w:szCs w:val="28"/>
        </w:rPr>
        <w:t>cannot be assessed.</w:t>
      </w:r>
      <w:r w:rsidRPr="0017462C">
        <w:rPr>
          <w:sz w:val="20"/>
          <w:szCs w:val="28"/>
        </w:rPr>
        <w:t xml:space="preserve"> </w:t>
      </w:r>
      <w:r w:rsidR="005320DE" w:rsidRPr="0017462C">
        <w:rPr>
          <w:sz w:val="20"/>
          <w:szCs w:val="28"/>
        </w:rPr>
        <w:t xml:space="preserve">Such details will be assessed against the planning scheme, as well as the </w:t>
      </w:r>
      <w:r w:rsidR="00AA7007" w:rsidRPr="0017462C">
        <w:rPr>
          <w:sz w:val="20"/>
          <w:szCs w:val="28"/>
        </w:rPr>
        <w:t xml:space="preserve">DDO </w:t>
      </w:r>
      <w:r w:rsidR="005320DE" w:rsidRPr="0017462C">
        <w:rPr>
          <w:sz w:val="20"/>
          <w:szCs w:val="28"/>
        </w:rPr>
        <w:t xml:space="preserve">Decision Guidelines </w:t>
      </w:r>
      <w:r w:rsidR="00AA7007" w:rsidRPr="0017462C">
        <w:rPr>
          <w:sz w:val="20"/>
          <w:szCs w:val="28"/>
        </w:rPr>
        <w:t>at permit stage.</w:t>
      </w:r>
    </w:p>
    <w:p w14:paraId="3891AC75" w14:textId="77777777" w:rsidR="008F0961" w:rsidRPr="008D525D" w:rsidRDefault="008F0961" w:rsidP="008D525D">
      <w:pPr>
        <w:spacing w:before="120" w:line="280" w:lineRule="atLeast"/>
        <w:jc w:val="both"/>
        <w:rPr>
          <w:sz w:val="20"/>
          <w:szCs w:val="28"/>
        </w:rPr>
      </w:pPr>
    </w:p>
    <w:p w14:paraId="02704105" w14:textId="4E791825" w:rsidR="00415C63" w:rsidRPr="008D525D" w:rsidRDefault="008F0961" w:rsidP="008D525D">
      <w:pPr>
        <w:spacing w:before="120" w:line="280" w:lineRule="atLeast"/>
        <w:jc w:val="both"/>
        <w:rPr>
          <w:sz w:val="20"/>
          <w:szCs w:val="28"/>
        </w:rPr>
      </w:pPr>
      <w:r w:rsidRPr="0017462C">
        <w:rPr>
          <w:sz w:val="20"/>
          <w:szCs w:val="28"/>
        </w:rPr>
        <w:t>To complete this Urban Design Assessment, we have made assumptions on the potential outcomes at the site</w:t>
      </w:r>
      <w:r w:rsidR="005320DE" w:rsidRPr="0017462C">
        <w:rPr>
          <w:sz w:val="20"/>
          <w:szCs w:val="28"/>
        </w:rPr>
        <w:t>. T</w:t>
      </w:r>
      <w:r w:rsidRPr="0017462C">
        <w:rPr>
          <w:sz w:val="20"/>
          <w:szCs w:val="28"/>
        </w:rPr>
        <w:t xml:space="preserve">he assessment uses the </w:t>
      </w:r>
      <w:r w:rsidR="00415C63" w:rsidRPr="0017462C">
        <w:rPr>
          <w:sz w:val="20"/>
          <w:szCs w:val="28"/>
        </w:rPr>
        <w:t xml:space="preserve">maximum footprint/scale </w:t>
      </w:r>
      <w:r w:rsidRPr="0017462C">
        <w:rPr>
          <w:sz w:val="20"/>
          <w:szCs w:val="28"/>
        </w:rPr>
        <w:t xml:space="preserve">that </w:t>
      </w:r>
      <w:r w:rsidR="005320DE" w:rsidRPr="0017462C">
        <w:rPr>
          <w:sz w:val="20"/>
          <w:szCs w:val="28"/>
        </w:rPr>
        <w:t xml:space="preserve">is </w:t>
      </w:r>
      <w:r w:rsidRPr="0017462C">
        <w:rPr>
          <w:sz w:val="20"/>
          <w:szCs w:val="28"/>
        </w:rPr>
        <w:t>supported via the DDO</w:t>
      </w:r>
      <w:r w:rsidR="005320DE" w:rsidRPr="0017462C">
        <w:rPr>
          <w:sz w:val="20"/>
          <w:szCs w:val="28"/>
        </w:rPr>
        <w:t xml:space="preserve">. </w:t>
      </w:r>
      <w:r w:rsidR="00545819" w:rsidRPr="0017462C">
        <w:rPr>
          <w:sz w:val="20"/>
          <w:szCs w:val="28"/>
        </w:rPr>
        <w:t xml:space="preserve"> Actual </w:t>
      </w:r>
      <w:r w:rsidRPr="0017462C">
        <w:rPr>
          <w:sz w:val="20"/>
          <w:szCs w:val="28"/>
        </w:rPr>
        <w:t xml:space="preserve">built form outcomes on the site could be of a </w:t>
      </w:r>
      <w:r w:rsidR="00AA7007" w:rsidRPr="0017462C">
        <w:rPr>
          <w:sz w:val="20"/>
          <w:szCs w:val="28"/>
        </w:rPr>
        <w:t>lesser scale</w:t>
      </w:r>
      <w:r w:rsidR="00545819" w:rsidRPr="0017462C">
        <w:rPr>
          <w:sz w:val="20"/>
          <w:szCs w:val="28"/>
        </w:rPr>
        <w:t xml:space="preserve"> than what has been assessed</w:t>
      </w:r>
      <w:r w:rsidR="00AA7007" w:rsidRPr="0017462C">
        <w:rPr>
          <w:sz w:val="20"/>
          <w:szCs w:val="28"/>
        </w:rPr>
        <w:t xml:space="preserve">. </w:t>
      </w:r>
    </w:p>
    <w:p w14:paraId="4CFFC20B" w14:textId="3226633F" w:rsidR="00A742FB" w:rsidRPr="008C6A3A" w:rsidRDefault="00A742FB">
      <w:pPr>
        <w:pStyle w:val="Heading2"/>
      </w:pPr>
      <w:bookmarkStart w:id="76" w:name="_Toc152146949"/>
      <w:r w:rsidRPr="008C6A3A">
        <w:t>Building Height</w:t>
      </w:r>
      <w:bookmarkEnd w:id="76"/>
      <w:r w:rsidRPr="008C6A3A">
        <w:t xml:space="preserve"> </w:t>
      </w:r>
    </w:p>
    <w:p w14:paraId="2A91207D" w14:textId="32CFD47E" w:rsidR="00415C63" w:rsidRPr="0017462C" w:rsidRDefault="00415C63" w:rsidP="001A56A3">
      <w:pPr>
        <w:rPr>
          <w:color w:val="FF0000"/>
          <w:sz w:val="20"/>
          <w:szCs w:val="28"/>
        </w:rPr>
      </w:pPr>
    </w:p>
    <w:p w14:paraId="1849FF2B" w14:textId="77777777" w:rsidR="008D525D" w:rsidRDefault="00EB7FCF" w:rsidP="008D525D">
      <w:pPr>
        <w:spacing w:before="120" w:line="280" w:lineRule="atLeast"/>
        <w:jc w:val="both"/>
        <w:rPr>
          <w:sz w:val="20"/>
          <w:szCs w:val="28"/>
        </w:rPr>
      </w:pPr>
      <w:bookmarkStart w:id="77" w:name="_Hlk141088871"/>
      <w:r w:rsidRPr="0017462C">
        <w:rPr>
          <w:sz w:val="20"/>
          <w:szCs w:val="28"/>
        </w:rPr>
        <w:t xml:space="preserve">To easier understand potential built form outcomes, we have identified sub-areas within a Site Map. This is attached at Appendix E.  The </w:t>
      </w:r>
      <w:bookmarkStart w:id="78" w:name="_Hlk152142052"/>
      <w:r w:rsidRPr="0017462C">
        <w:rPr>
          <w:sz w:val="20"/>
          <w:szCs w:val="28"/>
        </w:rPr>
        <w:t xml:space="preserve">Site Map </w:t>
      </w:r>
      <w:bookmarkEnd w:id="78"/>
      <w:r w:rsidRPr="0017462C">
        <w:rPr>
          <w:sz w:val="20"/>
          <w:szCs w:val="28"/>
        </w:rPr>
        <w:t xml:space="preserve">is referred to in the preferred Building Setbacks and Building heights in </w:t>
      </w:r>
      <w:r w:rsidR="008F0961" w:rsidRPr="0017462C">
        <w:rPr>
          <w:sz w:val="20"/>
          <w:szCs w:val="28"/>
        </w:rPr>
        <w:t>DDO</w:t>
      </w:r>
      <w:r w:rsidRPr="0017462C">
        <w:rPr>
          <w:sz w:val="20"/>
          <w:szCs w:val="28"/>
        </w:rPr>
        <w:t xml:space="preserve">84. </w:t>
      </w:r>
    </w:p>
    <w:p w14:paraId="415A2527" w14:textId="77777777" w:rsidR="008D525D" w:rsidRDefault="008D525D" w:rsidP="008D525D">
      <w:pPr>
        <w:spacing w:before="120" w:line="280" w:lineRule="atLeast"/>
        <w:jc w:val="both"/>
        <w:rPr>
          <w:sz w:val="20"/>
          <w:szCs w:val="28"/>
        </w:rPr>
      </w:pPr>
    </w:p>
    <w:p w14:paraId="0334FD98" w14:textId="69CEE5FE" w:rsidR="008F0961" w:rsidRPr="0017462C" w:rsidRDefault="00EB7FCF" w:rsidP="008D525D">
      <w:pPr>
        <w:spacing w:before="120" w:line="280" w:lineRule="atLeast"/>
        <w:jc w:val="both"/>
        <w:rPr>
          <w:sz w:val="20"/>
          <w:szCs w:val="28"/>
        </w:rPr>
      </w:pPr>
      <w:r w:rsidRPr="0017462C">
        <w:rPr>
          <w:sz w:val="20"/>
          <w:szCs w:val="28"/>
        </w:rPr>
        <w:t xml:space="preserve">If the maximum heights allowed via the DDO were the </w:t>
      </w:r>
      <w:r w:rsidR="002E413C" w:rsidRPr="0017462C">
        <w:rPr>
          <w:sz w:val="20"/>
          <w:szCs w:val="28"/>
        </w:rPr>
        <w:t xml:space="preserve">building heights </w:t>
      </w:r>
      <w:r w:rsidRPr="0017462C">
        <w:rPr>
          <w:sz w:val="20"/>
          <w:szCs w:val="28"/>
        </w:rPr>
        <w:t>at the site</w:t>
      </w:r>
      <w:r w:rsidR="008F0961" w:rsidRPr="0017462C">
        <w:rPr>
          <w:sz w:val="20"/>
          <w:szCs w:val="28"/>
        </w:rPr>
        <w:t xml:space="preserve"> would</w:t>
      </w:r>
      <w:r w:rsidR="008F36B2" w:rsidRPr="0017462C">
        <w:rPr>
          <w:sz w:val="20"/>
          <w:szCs w:val="28"/>
        </w:rPr>
        <w:t xml:space="preserve"> include</w:t>
      </w:r>
      <w:r w:rsidR="004E77DC" w:rsidRPr="0017462C">
        <w:rPr>
          <w:sz w:val="20"/>
          <w:szCs w:val="28"/>
        </w:rPr>
        <w:t>:</w:t>
      </w:r>
    </w:p>
    <w:bookmarkEnd w:id="77"/>
    <w:p w14:paraId="02E4910C" w14:textId="62F9274D" w:rsidR="00EB7FCF" w:rsidRPr="00EB7FCF" w:rsidRDefault="004B7FF2" w:rsidP="00EB7FCF">
      <w:pPr>
        <w:pStyle w:val="Caption"/>
      </w:pPr>
      <w:r>
        <w:t xml:space="preserve">Table </w:t>
      </w:r>
      <w:fldSimple w:instr=" SEQ Table \* ARABIC ">
        <w:r w:rsidR="007F66EC">
          <w:rPr>
            <w:noProof/>
          </w:rPr>
          <w:t>5</w:t>
        </w:r>
      </w:fldSimple>
      <w:r>
        <w:rPr>
          <w:noProof/>
        </w:rPr>
        <w:tab/>
      </w:r>
      <w:r>
        <w:t>Preferred Building Heights</w:t>
      </w:r>
    </w:p>
    <w:tbl>
      <w:tblPr>
        <w:tblStyle w:val="EthosUrban-DefaultTable"/>
        <w:tblW w:w="4861" w:type="pct"/>
        <w:tblLook w:val="0620" w:firstRow="1" w:lastRow="0" w:firstColumn="0" w:lastColumn="0" w:noHBand="1" w:noVBand="1"/>
      </w:tblPr>
      <w:tblGrid>
        <w:gridCol w:w="1210"/>
        <w:gridCol w:w="4318"/>
        <w:gridCol w:w="4392"/>
      </w:tblGrid>
      <w:tr w:rsidR="002E413C" w14:paraId="3BDB0EC3" w14:textId="50F5A662" w:rsidTr="0017462C">
        <w:trPr>
          <w:cnfStyle w:val="100000000000" w:firstRow="1" w:lastRow="0" w:firstColumn="0" w:lastColumn="0" w:oddVBand="0" w:evenVBand="0" w:oddHBand="0" w:evenHBand="0" w:firstRowFirstColumn="0" w:firstRowLastColumn="0" w:lastRowFirstColumn="0" w:lastRowLastColumn="0"/>
        </w:trPr>
        <w:tc>
          <w:tcPr>
            <w:tcW w:w="1210" w:type="dxa"/>
          </w:tcPr>
          <w:p w14:paraId="473BD703" w14:textId="115FD3DF" w:rsidR="002E413C" w:rsidRPr="0017462C" w:rsidRDefault="002E413C" w:rsidP="00952B6A">
            <w:pPr>
              <w:pStyle w:val="TableText"/>
              <w:rPr>
                <w:rFonts w:asciiTheme="minorHAnsi" w:hAnsiTheme="minorHAnsi"/>
                <w:color w:val="FFFFFF" w:themeColor="background1"/>
              </w:rPr>
            </w:pPr>
            <w:r w:rsidRPr="0017462C">
              <w:rPr>
                <w:rFonts w:asciiTheme="minorHAnsi" w:hAnsiTheme="minorHAnsi" w:cs="Arial"/>
                <w:b/>
                <w:bCs/>
                <w:color w:val="FFFFFF" w:themeColor="background1"/>
                <w:sz w:val="20"/>
              </w:rPr>
              <w:t>Interface Area</w:t>
            </w:r>
          </w:p>
        </w:tc>
        <w:tc>
          <w:tcPr>
            <w:tcW w:w="4319" w:type="dxa"/>
          </w:tcPr>
          <w:p w14:paraId="6DD5BDB1" w14:textId="71A526FF" w:rsidR="002E413C" w:rsidRPr="0017462C" w:rsidRDefault="002E413C" w:rsidP="00952B6A">
            <w:pPr>
              <w:pStyle w:val="TableText"/>
              <w:rPr>
                <w:rFonts w:asciiTheme="minorHAnsi" w:hAnsiTheme="minorHAnsi" w:cs="Arial"/>
                <w:b/>
                <w:bCs/>
                <w:color w:val="FFFFFF" w:themeColor="background1"/>
                <w:sz w:val="20"/>
              </w:rPr>
            </w:pPr>
            <w:r w:rsidRPr="0017462C">
              <w:rPr>
                <w:rFonts w:asciiTheme="minorHAnsi" w:hAnsiTheme="minorHAnsi" w:cs="Arial"/>
                <w:b/>
                <w:bCs/>
                <w:color w:val="FFFFFF" w:themeColor="background1"/>
                <w:sz w:val="20"/>
              </w:rPr>
              <w:t xml:space="preserve">Preferred Maximum Street Wall Height </w:t>
            </w:r>
          </w:p>
        </w:tc>
        <w:tc>
          <w:tcPr>
            <w:tcW w:w="4393" w:type="dxa"/>
          </w:tcPr>
          <w:p w14:paraId="7AFCE9B8" w14:textId="362090F4" w:rsidR="002E413C" w:rsidRPr="0017462C" w:rsidRDefault="002E413C" w:rsidP="00952B6A">
            <w:pPr>
              <w:pStyle w:val="TableText"/>
              <w:rPr>
                <w:rFonts w:asciiTheme="minorHAnsi" w:hAnsiTheme="minorHAnsi" w:cs="Arial"/>
                <w:b/>
                <w:bCs/>
                <w:color w:val="FFFFFF" w:themeColor="background1"/>
                <w:sz w:val="20"/>
              </w:rPr>
            </w:pPr>
            <w:r w:rsidRPr="0017462C">
              <w:rPr>
                <w:rFonts w:asciiTheme="minorHAnsi" w:hAnsiTheme="minorHAnsi" w:cs="Arial"/>
                <w:b/>
                <w:bCs/>
                <w:color w:val="FFFFFF" w:themeColor="background1"/>
                <w:sz w:val="20"/>
              </w:rPr>
              <w:t xml:space="preserve">Preferred Maximum Building Height </w:t>
            </w:r>
          </w:p>
        </w:tc>
      </w:tr>
      <w:tr w:rsidR="002E413C" w14:paraId="255C90C0" w14:textId="539F3C2B" w:rsidTr="0017462C">
        <w:tc>
          <w:tcPr>
            <w:tcW w:w="1210" w:type="dxa"/>
          </w:tcPr>
          <w:p w14:paraId="3F89240E" w14:textId="43E7B83B" w:rsidR="002E413C" w:rsidRPr="0017462C" w:rsidRDefault="002E413C" w:rsidP="00952B6A">
            <w:r w:rsidRPr="0017462C">
              <w:rPr>
                <w:rFonts w:cs="Arial"/>
                <w:sz w:val="20"/>
                <w:szCs w:val="20"/>
              </w:rPr>
              <w:t>A</w:t>
            </w:r>
          </w:p>
        </w:tc>
        <w:tc>
          <w:tcPr>
            <w:tcW w:w="4319" w:type="dxa"/>
          </w:tcPr>
          <w:p w14:paraId="247B32E7" w14:textId="146B4D22" w:rsidR="002E413C" w:rsidRPr="00EE4A5B" w:rsidRDefault="002E413C" w:rsidP="00952B6A">
            <w:pPr>
              <w:spacing w:after="160"/>
            </w:pPr>
            <w:r w:rsidRPr="00592F4A">
              <w:t>n/a</w:t>
            </w:r>
          </w:p>
        </w:tc>
        <w:tc>
          <w:tcPr>
            <w:tcW w:w="4393" w:type="dxa"/>
          </w:tcPr>
          <w:p w14:paraId="1ED40F12" w14:textId="6441EB25" w:rsidR="002E413C" w:rsidRPr="00592F4A" w:rsidRDefault="002E413C" w:rsidP="00952B6A">
            <w:r>
              <w:t xml:space="preserve">3.4 metres </w:t>
            </w:r>
          </w:p>
        </w:tc>
      </w:tr>
      <w:tr w:rsidR="002E413C" w14:paraId="4EB0330F" w14:textId="4852EA06" w:rsidTr="0017462C">
        <w:tc>
          <w:tcPr>
            <w:tcW w:w="1210" w:type="dxa"/>
          </w:tcPr>
          <w:p w14:paraId="6B29DE81" w14:textId="0ACD0520" w:rsidR="002E413C" w:rsidRPr="0017462C" w:rsidRDefault="002E413C" w:rsidP="00952B6A">
            <w:r w:rsidRPr="0017462C">
              <w:rPr>
                <w:rFonts w:cs="Arial"/>
                <w:sz w:val="20"/>
                <w:szCs w:val="20"/>
              </w:rPr>
              <w:t>B</w:t>
            </w:r>
          </w:p>
        </w:tc>
        <w:tc>
          <w:tcPr>
            <w:tcW w:w="4319" w:type="dxa"/>
          </w:tcPr>
          <w:p w14:paraId="6D96D682" w14:textId="4B16C592" w:rsidR="002E413C" w:rsidRPr="00EE4A5B" w:rsidRDefault="002E413C" w:rsidP="00952B6A">
            <w:pPr>
              <w:spacing w:after="160"/>
            </w:pPr>
            <w:r w:rsidRPr="00592F4A">
              <w:t>7 metres</w:t>
            </w:r>
          </w:p>
        </w:tc>
        <w:tc>
          <w:tcPr>
            <w:tcW w:w="4393" w:type="dxa"/>
          </w:tcPr>
          <w:p w14:paraId="2FE8C2C5" w14:textId="17421C62" w:rsidR="002E413C" w:rsidRPr="00592F4A" w:rsidRDefault="002E413C" w:rsidP="00952B6A">
            <w:r w:rsidRPr="00592F4A">
              <w:t>7 metres</w:t>
            </w:r>
          </w:p>
        </w:tc>
      </w:tr>
      <w:tr w:rsidR="002E413C" w14:paraId="4D3F918B" w14:textId="0F84CA33" w:rsidTr="0017462C">
        <w:tc>
          <w:tcPr>
            <w:tcW w:w="1210" w:type="dxa"/>
          </w:tcPr>
          <w:p w14:paraId="58A3ADC6" w14:textId="720BC9BA" w:rsidR="002E413C" w:rsidRPr="0017462C" w:rsidRDefault="002E413C" w:rsidP="00952B6A">
            <w:r w:rsidRPr="0017462C">
              <w:rPr>
                <w:rFonts w:cs="Arial"/>
                <w:sz w:val="20"/>
                <w:szCs w:val="20"/>
              </w:rPr>
              <w:t>C</w:t>
            </w:r>
          </w:p>
        </w:tc>
        <w:tc>
          <w:tcPr>
            <w:tcW w:w="4319" w:type="dxa"/>
          </w:tcPr>
          <w:p w14:paraId="4E5C7D4B" w14:textId="5EA57DCE" w:rsidR="002E413C" w:rsidRDefault="002E413C" w:rsidP="00952B6A">
            <w:pPr>
              <w:spacing w:after="160"/>
            </w:pPr>
            <w:r w:rsidRPr="00592F4A">
              <w:t>16.5 metres</w:t>
            </w:r>
          </w:p>
        </w:tc>
        <w:tc>
          <w:tcPr>
            <w:tcW w:w="4393" w:type="dxa"/>
          </w:tcPr>
          <w:p w14:paraId="744DB6B4" w14:textId="5E479BBD" w:rsidR="002E413C" w:rsidRPr="00592F4A" w:rsidRDefault="002E413C" w:rsidP="00952B6A">
            <w:r w:rsidRPr="00592F4A">
              <w:t>16.5 metres</w:t>
            </w:r>
          </w:p>
        </w:tc>
      </w:tr>
      <w:tr w:rsidR="002E413C" w14:paraId="63D8BFA2" w14:textId="64670FB9" w:rsidTr="0017462C">
        <w:tc>
          <w:tcPr>
            <w:tcW w:w="1210" w:type="dxa"/>
          </w:tcPr>
          <w:p w14:paraId="1ABF5F89" w14:textId="7312E4E5" w:rsidR="002E413C" w:rsidRPr="0017462C" w:rsidRDefault="002E413C" w:rsidP="00952B6A">
            <w:r w:rsidRPr="0017462C">
              <w:rPr>
                <w:rFonts w:cs="Arial"/>
                <w:sz w:val="20"/>
                <w:szCs w:val="20"/>
              </w:rPr>
              <w:t>D</w:t>
            </w:r>
          </w:p>
        </w:tc>
        <w:tc>
          <w:tcPr>
            <w:tcW w:w="4319" w:type="dxa"/>
          </w:tcPr>
          <w:p w14:paraId="0F12EB47" w14:textId="38992F9F" w:rsidR="002E413C" w:rsidRDefault="002E413C" w:rsidP="00952B6A">
            <w:pPr>
              <w:spacing w:after="160"/>
            </w:pPr>
            <w:r w:rsidRPr="00592F4A">
              <w:t>20 metres</w:t>
            </w:r>
          </w:p>
        </w:tc>
        <w:tc>
          <w:tcPr>
            <w:tcW w:w="4393" w:type="dxa"/>
          </w:tcPr>
          <w:p w14:paraId="60D3219E" w14:textId="7C2E8E14" w:rsidR="002E413C" w:rsidRPr="00592F4A" w:rsidRDefault="002E413C" w:rsidP="00952B6A">
            <w:r w:rsidRPr="00592F4A">
              <w:t>20 metres</w:t>
            </w:r>
          </w:p>
        </w:tc>
      </w:tr>
    </w:tbl>
    <w:p w14:paraId="0C61A624" w14:textId="77777777" w:rsidR="00415C63" w:rsidRDefault="00415C63" w:rsidP="001A56A3">
      <w:pPr>
        <w:rPr>
          <w:color w:val="FF0000"/>
        </w:rPr>
      </w:pPr>
    </w:p>
    <w:p w14:paraId="0835F743" w14:textId="24B80572" w:rsidR="00B150D9" w:rsidRPr="0017462C" w:rsidRDefault="008F0961" w:rsidP="001A56A3">
      <w:pPr>
        <w:rPr>
          <w:b/>
          <w:bCs/>
          <w:sz w:val="20"/>
          <w:szCs w:val="28"/>
        </w:rPr>
      </w:pPr>
      <w:r w:rsidRPr="0017462C">
        <w:rPr>
          <w:b/>
          <w:bCs/>
          <w:sz w:val="20"/>
          <w:szCs w:val="28"/>
        </w:rPr>
        <w:t>Assessment</w:t>
      </w:r>
    </w:p>
    <w:p w14:paraId="38A645DC" w14:textId="3CD83C4B" w:rsidR="00B150D9" w:rsidRPr="0017462C" w:rsidRDefault="00B150D9" w:rsidP="005465D5">
      <w:pPr>
        <w:pStyle w:val="ESNumberedBullet1"/>
        <w:spacing w:before="120" w:line="280" w:lineRule="atLeast"/>
        <w:rPr>
          <w:sz w:val="20"/>
          <w:szCs w:val="28"/>
        </w:rPr>
      </w:pPr>
      <w:r w:rsidRPr="0017462C">
        <w:rPr>
          <w:sz w:val="20"/>
          <w:szCs w:val="28"/>
        </w:rPr>
        <w:t>The pattern of building heights in proximity to the site is predominantly 3-4 storeys, however there are several buildings of significant scale in proximity. The adjoining Melbourne Mills Building is 20.98m in height. The ‘DHHS Building’ to the north is 14.8m in height.</w:t>
      </w:r>
    </w:p>
    <w:p w14:paraId="4FDE0BF7" w14:textId="77777777" w:rsidR="00761351" w:rsidRPr="0017462C" w:rsidRDefault="00761351" w:rsidP="005465D5">
      <w:pPr>
        <w:pStyle w:val="ESNumberedBullet1"/>
        <w:spacing w:before="120" w:line="280" w:lineRule="atLeast"/>
        <w:rPr>
          <w:sz w:val="20"/>
          <w:szCs w:val="28"/>
        </w:rPr>
      </w:pPr>
      <w:r w:rsidRPr="0017462C">
        <w:rPr>
          <w:sz w:val="20"/>
          <w:szCs w:val="28"/>
        </w:rPr>
        <w:t>There will be a significant intensification of taller buildings in the immediate area, as supported by the Arden Precinct Structure Plan. To the south-west of the site, heights are expected to range between 6 to 18 storeys.</w:t>
      </w:r>
    </w:p>
    <w:p w14:paraId="0C676631" w14:textId="7F4EAF3E" w:rsidR="002E413C" w:rsidRPr="0017462C" w:rsidRDefault="002E413C" w:rsidP="005465D5">
      <w:pPr>
        <w:pStyle w:val="ESNumberedBullet1"/>
        <w:spacing w:before="120" w:line="280" w:lineRule="atLeast"/>
        <w:rPr>
          <w:sz w:val="20"/>
          <w:szCs w:val="28"/>
        </w:rPr>
      </w:pPr>
      <w:r w:rsidRPr="0017462C">
        <w:rPr>
          <w:sz w:val="20"/>
          <w:szCs w:val="28"/>
        </w:rPr>
        <w:t>The maximum building height of 3.4 metres in Interface Area A is an acceptable outcome. This reflect</w:t>
      </w:r>
      <w:r w:rsidR="00033639" w:rsidRPr="0017462C">
        <w:rPr>
          <w:sz w:val="20"/>
          <w:szCs w:val="28"/>
        </w:rPr>
        <w:t>s</w:t>
      </w:r>
      <w:r w:rsidRPr="0017462C">
        <w:rPr>
          <w:sz w:val="20"/>
          <w:szCs w:val="28"/>
        </w:rPr>
        <w:t xml:space="preserve"> the existing street wall height. A single storey-built form outcome at this part of the site </w:t>
      </w:r>
      <w:r w:rsidR="00033639" w:rsidRPr="0017462C">
        <w:rPr>
          <w:sz w:val="20"/>
          <w:szCs w:val="28"/>
        </w:rPr>
        <w:t>will</w:t>
      </w:r>
      <w:r w:rsidRPr="0017462C">
        <w:rPr>
          <w:sz w:val="20"/>
          <w:szCs w:val="28"/>
        </w:rPr>
        <w:t xml:space="preserve"> have limited visibility from sensitive </w:t>
      </w:r>
      <w:r w:rsidR="00DA0A24" w:rsidRPr="0017462C">
        <w:rPr>
          <w:sz w:val="20"/>
          <w:szCs w:val="28"/>
        </w:rPr>
        <w:t>receptors and</w:t>
      </w:r>
      <w:r w:rsidRPr="0017462C">
        <w:rPr>
          <w:sz w:val="20"/>
          <w:szCs w:val="28"/>
        </w:rPr>
        <w:t xml:space="preserve"> is compatible with the preferred maximum heights in the adjoining interface areas.</w:t>
      </w:r>
    </w:p>
    <w:p w14:paraId="5DE0AA72" w14:textId="6D7BB496" w:rsidR="00B150D9" w:rsidRPr="0017462C" w:rsidRDefault="00B150D9" w:rsidP="005465D5">
      <w:pPr>
        <w:pStyle w:val="ESNumberedBullet1"/>
        <w:spacing w:before="120" w:line="280" w:lineRule="atLeast"/>
        <w:rPr>
          <w:sz w:val="20"/>
          <w:szCs w:val="28"/>
        </w:rPr>
      </w:pPr>
      <w:r w:rsidRPr="0017462C">
        <w:rPr>
          <w:sz w:val="20"/>
          <w:szCs w:val="28"/>
        </w:rPr>
        <w:t xml:space="preserve">The proposal comprises a new development with varying heights, responding to the </w:t>
      </w:r>
      <w:r w:rsidR="004F519A" w:rsidRPr="0017462C">
        <w:rPr>
          <w:sz w:val="20"/>
          <w:szCs w:val="28"/>
        </w:rPr>
        <w:t>topography,</w:t>
      </w:r>
      <w:r w:rsidRPr="0017462C">
        <w:rPr>
          <w:sz w:val="20"/>
          <w:szCs w:val="28"/>
        </w:rPr>
        <w:t xml:space="preserve"> and falling slopes along Arden Street. The </w:t>
      </w:r>
      <w:r w:rsidR="002E413C" w:rsidRPr="0017462C">
        <w:rPr>
          <w:sz w:val="20"/>
          <w:szCs w:val="28"/>
        </w:rPr>
        <w:t xml:space="preserve">stepped building form </w:t>
      </w:r>
      <w:r w:rsidRPr="0017462C">
        <w:rPr>
          <w:sz w:val="20"/>
          <w:szCs w:val="28"/>
        </w:rPr>
        <w:t xml:space="preserve">will reach a maximum of 20m along Arden Street. The lowest point is at Macaulay Road, at </w:t>
      </w:r>
      <w:r w:rsidR="00761351" w:rsidRPr="0017462C">
        <w:rPr>
          <w:sz w:val="20"/>
          <w:szCs w:val="28"/>
        </w:rPr>
        <w:t>7m</w:t>
      </w:r>
      <w:r w:rsidRPr="0017462C">
        <w:rPr>
          <w:sz w:val="20"/>
          <w:szCs w:val="28"/>
        </w:rPr>
        <w:t>.</w:t>
      </w:r>
    </w:p>
    <w:p w14:paraId="4E285CB7" w14:textId="1D4332EC" w:rsidR="00AA7007" w:rsidRPr="0017462C" w:rsidRDefault="008F36B2" w:rsidP="005465D5">
      <w:pPr>
        <w:pStyle w:val="ESNumberedBullet1"/>
        <w:spacing w:before="120" w:line="280" w:lineRule="atLeast"/>
        <w:rPr>
          <w:sz w:val="20"/>
          <w:szCs w:val="28"/>
        </w:rPr>
      </w:pPr>
      <w:r w:rsidRPr="0017462C">
        <w:rPr>
          <w:sz w:val="20"/>
          <w:szCs w:val="28"/>
        </w:rPr>
        <w:t xml:space="preserve">The building steps down from the interface with the existing Mills Building to the western boundary, this </w:t>
      </w:r>
      <w:r w:rsidR="00AA7007" w:rsidRPr="0017462C">
        <w:rPr>
          <w:sz w:val="20"/>
          <w:szCs w:val="28"/>
        </w:rPr>
        <w:t xml:space="preserve">enables a </w:t>
      </w:r>
      <w:r w:rsidRPr="0017462C">
        <w:rPr>
          <w:sz w:val="20"/>
          <w:szCs w:val="28"/>
        </w:rPr>
        <w:t xml:space="preserve">decrease </w:t>
      </w:r>
      <w:r w:rsidR="00AA7007" w:rsidRPr="0017462C">
        <w:rPr>
          <w:sz w:val="20"/>
          <w:szCs w:val="28"/>
        </w:rPr>
        <w:t xml:space="preserve">in </w:t>
      </w:r>
      <w:r w:rsidRPr="0017462C">
        <w:rPr>
          <w:sz w:val="20"/>
          <w:szCs w:val="28"/>
        </w:rPr>
        <w:t xml:space="preserve">building </w:t>
      </w:r>
      <w:r w:rsidR="00AA7007" w:rsidRPr="0017462C">
        <w:rPr>
          <w:sz w:val="20"/>
          <w:szCs w:val="28"/>
        </w:rPr>
        <w:t>height</w:t>
      </w:r>
      <w:r w:rsidRPr="0017462C">
        <w:rPr>
          <w:sz w:val="20"/>
          <w:szCs w:val="28"/>
        </w:rPr>
        <w:t xml:space="preserve"> that responds to the slope of the land, the height of built form in the west and the </w:t>
      </w:r>
      <w:r w:rsidR="00311A29" w:rsidRPr="0017462C">
        <w:rPr>
          <w:sz w:val="20"/>
          <w:szCs w:val="28"/>
        </w:rPr>
        <w:t>north and</w:t>
      </w:r>
      <w:r w:rsidRPr="0017462C">
        <w:rPr>
          <w:sz w:val="20"/>
          <w:szCs w:val="28"/>
        </w:rPr>
        <w:t xml:space="preserve"> provides an appropriate interface to the western boundary</w:t>
      </w:r>
      <w:r w:rsidR="00D17C87" w:rsidRPr="0017462C">
        <w:rPr>
          <w:sz w:val="20"/>
          <w:szCs w:val="28"/>
        </w:rPr>
        <w:t xml:space="preserve"> of Macaulay Street.</w:t>
      </w:r>
    </w:p>
    <w:p w14:paraId="20954212" w14:textId="12969934" w:rsidR="00AA7007" w:rsidRPr="0017462C" w:rsidRDefault="00AA7007" w:rsidP="005465D5">
      <w:pPr>
        <w:pStyle w:val="ESNumberedBullet1"/>
        <w:spacing w:before="120" w:line="280" w:lineRule="atLeast"/>
        <w:rPr>
          <w:sz w:val="20"/>
          <w:szCs w:val="28"/>
        </w:rPr>
      </w:pPr>
      <w:r w:rsidRPr="0017462C">
        <w:rPr>
          <w:sz w:val="20"/>
          <w:szCs w:val="28"/>
        </w:rPr>
        <w:t xml:space="preserve">The maximum height of 20m </w:t>
      </w:r>
      <w:r w:rsidR="008F36B2" w:rsidRPr="0017462C">
        <w:rPr>
          <w:sz w:val="20"/>
          <w:szCs w:val="28"/>
        </w:rPr>
        <w:t xml:space="preserve">is less than the existing height of </w:t>
      </w:r>
      <w:r w:rsidRPr="0017462C">
        <w:rPr>
          <w:sz w:val="20"/>
          <w:szCs w:val="28"/>
        </w:rPr>
        <w:t xml:space="preserve">the Melbourne Mills building. </w:t>
      </w:r>
      <w:r w:rsidR="008F36B2" w:rsidRPr="0017462C">
        <w:rPr>
          <w:sz w:val="20"/>
          <w:szCs w:val="28"/>
        </w:rPr>
        <w:t xml:space="preserve">Ensuring future built form is less than existing built form </w:t>
      </w:r>
      <w:r w:rsidRPr="0017462C">
        <w:rPr>
          <w:sz w:val="20"/>
          <w:szCs w:val="28"/>
        </w:rPr>
        <w:t>reduces any</w:t>
      </w:r>
      <w:r w:rsidR="00D9480C" w:rsidRPr="0017462C">
        <w:rPr>
          <w:sz w:val="20"/>
          <w:szCs w:val="28"/>
        </w:rPr>
        <w:t xml:space="preserve"> would not visually disrupt </w:t>
      </w:r>
      <w:r w:rsidR="00D9480C" w:rsidRPr="0017462C">
        <w:rPr>
          <w:sz w:val="20"/>
          <w:szCs w:val="28"/>
        </w:rPr>
        <w:lastRenderedPageBreak/>
        <w:t>the appreciation for the southern and eastern facades of the Melbourne Mills building. The addition of an adjoining mass that conceals part of the west façade does not detract from the significance and character of the Melbourne Mills building.</w:t>
      </w:r>
    </w:p>
    <w:p w14:paraId="35450830" w14:textId="5D2252D6" w:rsidR="00C322EC" w:rsidRPr="0017462C" w:rsidRDefault="00761351" w:rsidP="005465D5">
      <w:pPr>
        <w:pStyle w:val="ESNumberedBullet1"/>
        <w:spacing w:before="120" w:line="280" w:lineRule="atLeast"/>
        <w:rPr>
          <w:sz w:val="20"/>
          <w:szCs w:val="28"/>
        </w:rPr>
      </w:pPr>
      <w:r w:rsidRPr="0017462C">
        <w:rPr>
          <w:sz w:val="20"/>
          <w:szCs w:val="28"/>
        </w:rPr>
        <w:t xml:space="preserve">The existing and emerging </w:t>
      </w:r>
      <w:r w:rsidR="00311A29" w:rsidRPr="0017462C">
        <w:rPr>
          <w:sz w:val="20"/>
          <w:szCs w:val="28"/>
        </w:rPr>
        <w:t xml:space="preserve">built form context of the site </w:t>
      </w:r>
      <w:r w:rsidRPr="0017462C">
        <w:rPr>
          <w:sz w:val="20"/>
          <w:szCs w:val="28"/>
        </w:rPr>
        <w:t>support</w:t>
      </w:r>
      <w:r w:rsidR="00311A29" w:rsidRPr="0017462C">
        <w:rPr>
          <w:sz w:val="20"/>
          <w:szCs w:val="28"/>
        </w:rPr>
        <w:t xml:space="preserve">s an increase in </w:t>
      </w:r>
      <w:r w:rsidRPr="0017462C">
        <w:rPr>
          <w:sz w:val="20"/>
          <w:szCs w:val="28"/>
        </w:rPr>
        <w:t>building</w:t>
      </w:r>
      <w:r w:rsidR="00311A29" w:rsidRPr="0017462C">
        <w:rPr>
          <w:sz w:val="20"/>
          <w:szCs w:val="28"/>
        </w:rPr>
        <w:t xml:space="preserve"> heights</w:t>
      </w:r>
      <w:r w:rsidR="004F519A" w:rsidRPr="0017462C">
        <w:rPr>
          <w:sz w:val="20"/>
          <w:szCs w:val="28"/>
        </w:rPr>
        <w:t xml:space="preserve"> </w:t>
      </w:r>
      <w:r w:rsidR="00311A29" w:rsidRPr="0017462C">
        <w:rPr>
          <w:sz w:val="20"/>
          <w:szCs w:val="28"/>
        </w:rPr>
        <w:t xml:space="preserve">where it is demonstrated they will respond to the existing building heights, the slope of the land, protect sensitive interfaces and protect the public realm. The site and controls deliver </w:t>
      </w:r>
      <w:r w:rsidR="00C6049F" w:rsidRPr="0017462C">
        <w:rPr>
          <w:sz w:val="20"/>
          <w:szCs w:val="28"/>
        </w:rPr>
        <w:t>this and</w:t>
      </w:r>
      <w:r w:rsidR="00311A29" w:rsidRPr="0017462C">
        <w:rPr>
          <w:sz w:val="20"/>
          <w:szCs w:val="28"/>
        </w:rPr>
        <w:t xml:space="preserve"> are an appropriate response to the existing and emerging built form context</w:t>
      </w:r>
      <w:r w:rsidR="00095B72" w:rsidRPr="0017462C">
        <w:rPr>
          <w:sz w:val="20"/>
          <w:szCs w:val="28"/>
        </w:rPr>
        <w:t>.</w:t>
      </w:r>
    </w:p>
    <w:p w14:paraId="4751EBD7" w14:textId="73795FE2" w:rsidR="00264DDC" w:rsidRDefault="00264DDC" w:rsidP="00FD3111">
      <w:pPr>
        <w:pStyle w:val="ListBullet2"/>
        <w:numPr>
          <w:ilvl w:val="0"/>
          <w:numId w:val="0"/>
        </w:numPr>
        <w:jc w:val="both"/>
      </w:pPr>
      <w:r>
        <w:rPr>
          <w:noProof/>
        </w:rPr>
        <w:drawing>
          <wp:inline distT="0" distB="0" distL="0" distR="0" wp14:anchorId="12605265" wp14:editId="23B01235">
            <wp:extent cx="5273749" cy="1894333"/>
            <wp:effectExtent l="0" t="0" r="3175" b="0"/>
            <wp:docPr id="39" name="Picture 39" descr="Architectural drawings of the existing building with the proposed new built form shown in g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rchitectural drawings of the existing building with the proposed new built form shown in green. "/>
                    <pic:cNvPicPr/>
                  </pic:nvPicPr>
                  <pic:blipFill>
                    <a:blip r:embed="rId27"/>
                    <a:stretch>
                      <a:fillRect/>
                    </a:stretch>
                  </pic:blipFill>
                  <pic:spPr>
                    <a:xfrm>
                      <a:off x="0" y="0"/>
                      <a:ext cx="5278128" cy="1895906"/>
                    </a:xfrm>
                    <a:prstGeom prst="rect">
                      <a:avLst/>
                    </a:prstGeom>
                  </pic:spPr>
                </pic:pic>
              </a:graphicData>
            </a:graphic>
          </wp:inline>
        </w:drawing>
      </w:r>
    </w:p>
    <w:p w14:paraId="21162981" w14:textId="5C1F2959" w:rsidR="00264DDC" w:rsidRPr="009D11A0" w:rsidRDefault="00264DDC" w:rsidP="00264DDC">
      <w:pPr>
        <w:pStyle w:val="ListBullet2"/>
        <w:numPr>
          <w:ilvl w:val="0"/>
          <w:numId w:val="0"/>
        </w:numPr>
        <w:jc w:val="both"/>
        <w:rPr>
          <w:i/>
          <w:iCs/>
        </w:rPr>
      </w:pPr>
      <w:r w:rsidRPr="009D11A0">
        <w:rPr>
          <w:i/>
          <w:iCs/>
          <w:sz w:val="14"/>
          <w:szCs w:val="18"/>
        </w:rPr>
        <w:t xml:space="preserve">Proposed Envelope – Arden Street </w:t>
      </w:r>
      <w:r>
        <w:rPr>
          <w:i/>
          <w:iCs/>
          <w:sz w:val="14"/>
          <w:szCs w:val="18"/>
        </w:rPr>
        <w:t>Elevation</w:t>
      </w:r>
    </w:p>
    <w:p w14:paraId="715E4200" w14:textId="714F2C41" w:rsidR="00264DDC" w:rsidRDefault="00264DDC" w:rsidP="00FD3111">
      <w:pPr>
        <w:pStyle w:val="ListBullet2"/>
        <w:numPr>
          <w:ilvl w:val="0"/>
          <w:numId w:val="0"/>
        </w:numPr>
        <w:jc w:val="both"/>
      </w:pPr>
      <w:r>
        <w:rPr>
          <w:noProof/>
        </w:rPr>
        <w:drawing>
          <wp:inline distT="0" distB="0" distL="0" distR="0" wp14:anchorId="0561A178" wp14:editId="744059D1">
            <wp:extent cx="5220587" cy="2322307"/>
            <wp:effectExtent l="0" t="0" r="0" b="1905"/>
            <wp:docPr id="40" name="Picture 40" descr="Architectural drawings of the existing building with the proposed new built form shown in g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rchitectural drawings of the existing building with the proposed new built form shown in green. "/>
                    <pic:cNvPicPr/>
                  </pic:nvPicPr>
                  <pic:blipFill>
                    <a:blip r:embed="rId28"/>
                    <a:stretch>
                      <a:fillRect/>
                    </a:stretch>
                  </pic:blipFill>
                  <pic:spPr>
                    <a:xfrm>
                      <a:off x="0" y="0"/>
                      <a:ext cx="5229119" cy="2326102"/>
                    </a:xfrm>
                    <a:prstGeom prst="rect">
                      <a:avLst/>
                    </a:prstGeom>
                  </pic:spPr>
                </pic:pic>
              </a:graphicData>
            </a:graphic>
          </wp:inline>
        </w:drawing>
      </w:r>
    </w:p>
    <w:p w14:paraId="6F833FB8" w14:textId="2CF37595" w:rsidR="00264DDC" w:rsidRPr="009D11A0" w:rsidRDefault="00264DDC" w:rsidP="00264DDC">
      <w:pPr>
        <w:pStyle w:val="ListBullet2"/>
        <w:numPr>
          <w:ilvl w:val="0"/>
          <w:numId w:val="0"/>
        </w:numPr>
        <w:jc w:val="both"/>
        <w:rPr>
          <w:i/>
          <w:iCs/>
        </w:rPr>
      </w:pPr>
      <w:r w:rsidRPr="009D11A0">
        <w:rPr>
          <w:i/>
          <w:iCs/>
          <w:sz w:val="14"/>
          <w:szCs w:val="18"/>
        </w:rPr>
        <w:t xml:space="preserve">Proposed Envelope – </w:t>
      </w:r>
      <w:r>
        <w:rPr>
          <w:i/>
          <w:iCs/>
          <w:sz w:val="14"/>
          <w:szCs w:val="18"/>
        </w:rPr>
        <w:t xml:space="preserve">Dryburgh Street </w:t>
      </w:r>
      <w:r w:rsidR="001D636F">
        <w:rPr>
          <w:i/>
          <w:iCs/>
          <w:sz w:val="14"/>
          <w:szCs w:val="18"/>
        </w:rPr>
        <w:t>&amp; Macaulay Road</w:t>
      </w:r>
      <w:r w:rsidRPr="009D11A0">
        <w:rPr>
          <w:i/>
          <w:iCs/>
          <w:sz w:val="14"/>
          <w:szCs w:val="18"/>
        </w:rPr>
        <w:t xml:space="preserve"> </w:t>
      </w:r>
      <w:r>
        <w:rPr>
          <w:i/>
          <w:iCs/>
          <w:sz w:val="14"/>
          <w:szCs w:val="18"/>
        </w:rPr>
        <w:t>Elevation</w:t>
      </w:r>
    </w:p>
    <w:p w14:paraId="58A8CF2A" w14:textId="77777777" w:rsidR="001D636F" w:rsidRDefault="001D636F" w:rsidP="008C6A3A">
      <w:pPr>
        <w:pStyle w:val="ListBullet2"/>
        <w:keepNext/>
        <w:numPr>
          <w:ilvl w:val="0"/>
          <w:numId w:val="0"/>
        </w:numPr>
        <w:jc w:val="both"/>
      </w:pPr>
      <w:r>
        <w:rPr>
          <w:noProof/>
        </w:rPr>
        <w:drawing>
          <wp:inline distT="0" distB="0" distL="0" distR="0" wp14:anchorId="18AD072F" wp14:editId="3B002C6D">
            <wp:extent cx="5220335" cy="1916067"/>
            <wp:effectExtent l="0" t="0" r="0" b="8255"/>
            <wp:docPr id="41" name="Picture 41" descr="Architectural drawings of the existing building with the proposed new built form shown in g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rchitectural drawings of the existing building with the proposed new built form shown in green. "/>
                    <pic:cNvPicPr/>
                  </pic:nvPicPr>
                  <pic:blipFill>
                    <a:blip r:embed="rId29"/>
                    <a:stretch>
                      <a:fillRect/>
                    </a:stretch>
                  </pic:blipFill>
                  <pic:spPr>
                    <a:xfrm>
                      <a:off x="0" y="0"/>
                      <a:ext cx="5245132" cy="1925168"/>
                    </a:xfrm>
                    <a:prstGeom prst="rect">
                      <a:avLst/>
                    </a:prstGeom>
                  </pic:spPr>
                </pic:pic>
              </a:graphicData>
            </a:graphic>
          </wp:inline>
        </w:drawing>
      </w:r>
    </w:p>
    <w:p w14:paraId="5639FCBD" w14:textId="77777777" w:rsidR="001D636F" w:rsidRPr="009D11A0" w:rsidRDefault="001D636F" w:rsidP="001D636F">
      <w:pPr>
        <w:pStyle w:val="ListBullet2"/>
        <w:numPr>
          <w:ilvl w:val="0"/>
          <w:numId w:val="0"/>
        </w:numPr>
        <w:jc w:val="both"/>
        <w:rPr>
          <w:i/>
          <w:iCs/>
        </w:rPr>
      </w:pPr>
      <w:r w:rsidRPr="009D11A0">
        <w:rPr>
          <w:i/>
          <w:iCs/>
          <w:sz w:val="14"/>
          <w:szCs w:val="18"/>
        </w:rPr>
        <w:t xml:space="preserve">Proposed Envelope – </w:t>
      </w:r>
      <w:r>
        <w:rPr>
          <w:i/>
          <w:iCs/>
          <w:sz w:val="14"/>
          <w:szCs w:val="18"/>
        </w:rPr>
        <w:t>Dryburgh Street &amp; Macaulay Road</w:t>
      </w:r>
      <w:r w:rsidRPr="009D11A0">
        <w:rPr>
          <w:i/>
          <w:iCs/>
          <w:sz w:val="14"/>
          <w:szCs w:val="18"/>
        </w:rPr>
        <w:t xml:space="preserve"> </w:t>
      </w:r>
      <w:r>
        <w:rPr>
          <w:i/>
          <w:iCs/>
          <w:sz w:val="14"/>
          <w:szCs w:val="18"/>
        </w:rPr>
        <w:t>Elevation</w:t>
      </w:r>
    </w:p>
    <w:p w14:paraId="189C0B85" w14:textId="66FA74C2" w:rsidR="001D636F" w:rsidRDefault="001D636F" w:rsidP="001D636F">
      <w:pPr>
        <w:pStyle w:val="Caption"/>
        <w:jc w:val="both"/>
      </w:pPr>
      <w:bookmarkStart w:id="79" w:name="_Toc149851767"/>
      <w:r>
        <w:t xml:space="preserve">Figure </w:t>
      </w:r>
      <w:fldSimple w:instr=" SEQ Figure \* ARABIC ">
        <w:r w:rsidR="007F66EC">
          <w:rPr>
            <w:noProof/>
          </w:rPr>
          <w:t>7</w:t>
        </w:r>
      </w:fldSimple>
      <w:r>
        <w:tab/>
        <w:t>Illustrative Building Height Outcomes</w:t>
      </w:r>
      <w:bookmarkEnd w:id="79"/>
    </w:p>
    <w:p w14:paraId="6D027EB4" w14:textId="64B3B59E" w:rsidR="00F80537" w:rsidRDefault="001D636F" w:rsidP="001D636F">
      <w:pPr>
        <w:rPr>
          <w:i/>
          <w:iCs/>
          <w:sz w:val="14"/>
          <w:szCs w:val="18"/>
        </w:rPr>
      </w:pPr>
      <w:r w:rsidRPr="00D72578">
        <w:rPr>
          <w:i/>
          <w:iCs/>
          <w:sz w:val="14"/>
          <w:szCs w:val="18"/>
        </w:rPr>
        <w:t>Source: Airstream Architects</w:t>
      </w:r>
    </w:p>
    <w:p w14:paraId="5D4B5307" w14:textId="77777777" w:rsidR="00F80537" w:rsidRDefault="00F80537">
      <w:pPr>
        <w:spacing w:line="259" w:lineRule="auto"/>
        <w:contextualSpacing w:val="0"/>
        <w:rPr>
          <w:i/>
          <w:iCs/>
          <w:sz w:val="14"/>
          <w:szCs w:val="18"/>
        </w:rPr>
      </w:pPr>
      <w:r>
        <w:rPr>
          <w:i/>
          <w:iCs/>
          <w:sz w:val="14"/>
          <w:szCs w:val="18"/>
        </w:rPr>
        <w:br w:type="page"/>
      </w:r>
    </w:p>
    <w:p w14:paraId="05E40498" w14:textId="3CFE7AB7" w:rsidR="00FD3111" w:rsidRDefault="00FD3111" w:rsidP="00FD3111">
      <w:pPr>
        <w:pStyle w:val="Heading2"/>
      </w:pPr>
      <w:bookmarkStart w:id="80" w:name="_Toc152146950"/>
      <w:r w:rsidRPr="008C6A3A">
        <w:lastRenderedPageBreak/>
        <w:t>Built Form</w:t>
      </w:r>
      <w:bookmarkEnd w:id="80"/>
    </w:p>
    <w:p w14:paraId="6F47117B" w14:textId="77777777" w:rsidR="002E413C" w:rsidRDefault="002E413C" w:rsidP="002E413C"/>
    <w:p w14:paraId="3D71C428" w14:textId="54FD614A" w:rsidR="002E413C" w:rsidRPr="00C13B94" w:rsidRDefault="002E413C" w:rsidP="005465D5">
      <w:pPr>
        <w:spacing w:before="120" w:line="280" w:lineRule="atLeast"/>
        <w:jc w:val="both"/>
        <w:rPr>
          <w:sz w:val="20"/>
          <w:szCs w:val="28"/>
        </w:rPr>
      </w:pPr>
      <w:r w:rsidRPr="00C13B94">
        <w:rPr>
          <w:sz w:val="20"/>
          <w:szCs w:val="28"/>
        </w:rPr>
        <w:t xml:space="preserve">The Site Map in Appendix E identifies the interface areas and includes dimensions for setbacks from the western and northern boundaries. This is summarised in </w:t>
      </w:r>
      <w:r w:rsidRPr="005465D5">
        <w:rPr>
          <w:b/>
          <w:bCs/>
          <w:sz w:val="20"/>
          <w:szCs w:val="28"/>
        </w:rPr>
        <w:t>Table 6</w:t>
      </w:r>
      <w:r w:rsidRPr="00C13B94">
        <w:rPr>
          <w:sz w:val="20"/>
          <w:szCs w:val="28"/>
        </w:rPr>
        <w:t xml:space="preserve"> below.</w:t>
      </w:r>
    </w:p>
    <w:p w14:paraId="5BC00CF9" w14:textId="5C0EE167" w:rsidR="002E413C" w:rsidRPr="00EB7FCF" w:rsidRDefault="002E413C" w:rsidP="002E413C">
      <w:pPr>
        <w:pStyle w:val="Caption"/>
      </w:pPr>
      <w:r>
        <w:t xml:space="preserve">Table </w:t>
      </w:r>
      <w:fldSimple w:instr=" SEQ Table \* ARABIC ">
        <w:r w:rsidR="007F66EC">
          <w:rPr>
            <w:noProof/>
          </w:rPr>
          <w:t>6</w:t>
        </w:r>
      </w:fldSimple>
      <w:r>
        <w:rPr>
          <w:noProof/>
        </w:rPr>
        <w:tab/>
      </w:r>
      <w:r>
        <w:t>Preferred Building Setbacks and Building Heights</w:t>
      </w:r>
    </w:p>
    <w:tbl>
      <w:tblPr>
        <w:tblStyle w:val="EthosUrban-DefaultTable"/>
        <w:tblW w:w="5000" w:type="pct"/>
        <w:tblLook w:val="0620" w:firstRow="1" w:lastRow="0" w:firstColumn="0" w:lastColumn="0" w:noHBand="1" w:noVBand="1"/>
      </w:tblPr>
      <w:tblGrid>
        <w:gridCol w:w="1210"/>
        <w:gridCol w:w="2333"/>
        <w:gridCol w:w="2409"/>
        <w:gridCol w:w="2126"/>
        <w:gridCol w:w="2126"/>
      </w:tblGrid>
      <w:tr w:rsidR="002E413C" w14:paraId="023CEC12" w14:textId="77777777" w:rsidTr="00913ECB">
        <w:trPr>
          <w:cnfStyle w:val="100000000000" w:firstRow="1" w:lastRow="0" w:firstColumn="0" w:lastColumn="0" w:oddVBand="0" w:evenVBand="0" w:oddHBand="0" w:evenHBand="0" w:firstRowFirstColumn="0" w:firstRowLastColumn="0" w:lastRowFirstColumn="0" w:lastRowLastColumn="0"/>
        </w:trPr>
        <w:tc>
          <w:tcPr>
            <w:tcW w:w="1210" w:type="dxa"/>
          </w:tcPr>
          <w:p w14:paraId="71BE91E8" w14:textId="77777777" w:rsidR="002E413C" w:rsidRPr="00C13B94" w:rsidRDefault="002E413C" w:rsidP="00913ECB">
            <w:pPr>
              <w:pStyle w:val="TableText"/>
              <w:rPr>
                <w:rFonts w:asciiTheme="minorHAnsi" w:hAnsiTheme="minorHAnsi"/>
                <w:color w:val="FFFFFF" w:themeColor="background1"/>
              </w:rPr>
            </w:pPr>
            <w:r w:rsidRPr="00C13B94">
              <w:rPr>
                <w:rFonts w:asciiTheme="minorHAnsi" w:hAnsiTheme="minorHAnsi" w:cs="Arial"/>
                <w:b/>
                <w:bCs/>
                <w:color w:val="FFFFFF" w:themeColor="background1"/>
                <w:sz w:val="20"/>
              </w:rPr>
              <w:t>Interface Area</w:t>
            </w:r>
          </w:p>
        </w:tc>
        <w:tc>
          <w:tcPr>
            <w:tcW w:w="2334" w:type="dxa"/>
          </w:tcPr>
          <w:p w14:paraId="36F06F3D" w14:textId="77777777" w:rsidR="002E413C" w:rsidRPr="00C13B94" w:rsidRDefault="002E413C" w:rsidP="00913ECB">
            <w:pPr>
              <w:pStyle w:val="TableText"/>
              <w:rPr>
                <w:rFonts w:asciiTheme="minorHAnsi" w:hAnsiTheme="minorHAnsi"/>
                <w:color w:val="FFFFFF" w:themeColor="background1"/>
              </w:rPr>
            </w:pPr>
            <w:r w:rsidRPr="00C13B94">
              <w:rPr>
                <w:rFonts w:asciiTheme="minorHAnsi" w:hAnsiTheme="minorHAnsi" w:cs="Arial"/>
                <w:b/>
                <w:bCs/>
                <w:color w:val="FFFFFF" w:themeColor="background1"/>
                <w:sz w:val="20"/>
              </w:rPr>
              <w:t>Preferred Setback from Western Boundary</w:t>
            </w:r>
          </w:p>
        </w:tc>
        <w:tc>
          <w:tcPr>
            <w:tcW w:w="2410" w:type="dxa"/>
          </w:tcPr>
          <w:p w14:paraId="40E837AC" w14:textId="77777777" w:rsidR="002E413C" w:rsidRPr="00C13B94" w:rsidRDefault="002E413C" w:rsidP="00913ECB">
            <w:pPr>
              <w:pStyle w:val="TableText"/>
              <w:rPr>
                <w:rFonts w:asciiTheme="minorHAnsi" w:hAnsiTheme="minorHAnsi" w:cs="Arial"/>
                <w:b/>
                <w:bCs/>
                <w:color w:val="FFFFFF" w:themeColor="background1"/>
                <w:sz w:val="20"/>
              </w:rPr>
            </w:pPr>
            <w:r w:rsidRPr="00C13B94">
              <w:rPr>
                <w:rFonts w:asciiTheme="minorHAnsi" w:hAnsiTheme="minorHAnsi" w:cs="Arial"/>
                <w:b/>
                <w:bCs/>
                <w:color w:val="FFFFFF" w:themeColor="background1"/>
                <w:sz w:val="20"/>
              </w:rPr>
              <w:t xml:space="preserve">Preferred Setback from Northern Boundary </w:t>
            </w:r>
          </w:p>
        </w:tc>
        <w:tc>
          <w:tcPr>
            <w:tcW w:w="2126" w:type="dxa"/>
          </w:tcPr>
          <w:p w14:paraId="27ACAA63" w14:textId="77777777" w:rsidR="002E413C" w:rsidRPr="00C13B94" w:rsidRDefault="002E413C" w:rsidP="00913ECB">
            <w:pPr>
              <w:pStyle w:val="TableText"/>
              <w:rPr>
                <w:rFonts w:asciiTheme="minorHAnsi" w:hAnsiTheme="minorHAnsi" w:cs="Arial"/>
                <w:b/>
                <w:bCs/>
                <w:color w:val="FFFFFF" w:themeColor="background1"/>
                <w:sz w:val="20"/>
              </w:rPr>
            </w:pPr>
            <w:r w:rsidRPr="00C13B94">
              <w:rPr>
                <w:rFonts w:asciiTheme="minorHAnsi" w:hAnsiTheme="minorHAnsi" w:cs="Arial"/>
                <w:b/>
                <w:bCs/>
                <w:color w:val="FFFFFF" w:themeColor="background1"/>
                <w:sz w:val="20"/>
              </w:rPr>
              <w:t xml:space="preserve">Preferred Maximum Street Wall Height </w:t>
            </w:r>
          </w:p>
        </w:tc>
        <w:tc>
          <w:tcPr>
            <w:tcW w:w="2126" w:type="dxa"/>
          </w:tcPr>
          <w:p w14:paraId="261156D5" w14:textId="77777777" w:rsidR="002E413C" w:rsidRPr="00C13B94" w:rsidRDefault="002E413C" w:rsidP="00913ECB">
            <w:pPr>
              <w:pStyle w:val="TableText"/>
              <w:rPr>
                <w:rFonts w:asciiTheme="minorHAnsi" w:hAnsiTheme="minorHAnsi" w:cs="Arial"/>
                <w:b/>
                <w:bCs/>
                <w:color w:val="FFFFFF" w:themeColor="background1"/>
                <w:sz w:val="20"/>
              </w:rPr>
            </w:pPr>
            <w:r w:rsidRPr="00C13B94">
              <w:rPr>
                <w:rFonts w:asciiTheme="minorHAnsi" w:hAnsiTheme="minorHAnsi" w:cs="Arial"/>
                <w:b/>
                <w:bCs/>
                <w:color w:val="FFFFFF" w:themeColor="background1"/>
                <w:sz w:val="20"/>
              </w:rPr>
              <w:t xml:space="preserve">Preferred Maximum Building Height </w:t>
            </w:r>
          </w:p>
        </w:tc>
      </w:tr>
      <w:tr w:rsidR="002E413C" w14:paraId="2A426771" w14:textId="77777777" w:rsidTr="00913ECB">
        <w:tc>
          <w:tcPr>
            <w:tcW w:w="1210" w:type="dxa"/>
          </w:tcPr>
          <w:p w14:paraId="763914F9" w14:textId="77777777" w:rsidR="002E413C" w:rsidRPr="00F0230E" w:rsidRDefault="002E413C" w:rsidP="00913ECB">
            <w:pPr>
              <w:rPr>
                <w:sz w:val="20"/>
                <w:szCs w:val="20"/>
              </w:rPr>
            </w:pPr>
            <w:r w:rsidRPr="00F0230E">
              <w:rPr>
                <w:rFonts w:cs="Arial"/>
                <w:sz w:val="20"/>
                <w:szCs w:val="20"/>
              </w:rPr>
              <w:t>A</w:t>
            </w:r>
          </w:p>
        </w:tc>
        <w:tc>
          <w:tcPr>
            <w:tcW w:w="2334" w:type="dxa"/>
          </w:tcPr>
          <w:p w14:paraId="06E69BA2" w14:textId="77777777" w:rsidR="002E413C" w:rsidRPr="00F0230E" w:rsidRDefault="002E413C" w:rsidP="00913ECB">
            <w:pPr>
              <w:spacing w:after="160"/>
              <w:rPr>
                <w:sz w:val="20"/>
                <w:szCs w:val="20"/>
              </w:rPr>
            </w:pPr>
            <w:r w:rsidRPr="00F0230E">
              <w:rPr>
                <w:sz w:val="20"/>
                <w:szCs w:val="20"/>
              </w:rPr>
              <w:t>0 metres</w:t>
            </w:r>
          </w:p>
        </w:tc>
        <w:tc>
          <w:tcPr>
            <w:tcW w:w="2410" w:type="dxa"/>
          </w:tcPr>
          <w:p w14:paraId="57ED541E" w14:textId="77777777" w:rsidR="002E413C" w:rsidRPr="00F0230E" w:rsidRDefault="002E413C" w:rsidP="00913ECB">
            <w:pPr>
              <w:rPr>
                <w:sz w:val="20"/>
                <w:szCs w:val="20"/>
              </w:rPr>
            </w:pPr>
            <w:r w:rsidRPr="00F0230E">
              <w:rPr>
                <w:sz w:val="20"/>
                <w:szCs w:val="20"/>
              </w:rPr>
              <w:t>0 metres</w:t>
            </w:r>
          </w:p>
        </w:tc>
        <w:tc>
          <w:tcPr>
            <w:tcW w:w="2126" w:type="dxa"/>
          </w:tcPr>
          <w:p w14:paraId="46C0DA90" w14:textId="77777777" w:rsidR="002E413C" w:rsidRPr="00F0230E" w:rsidRDefault="002E413C" w:rsidP="00913ECB">
            <w:pPr>
              <w:spacing w:after="160"/>
              <w:rPr>
                <w:sz w:val="20"/>
                <w:szCs w:val="20"/>
              </w:rPr>
            </w:pPr>
            <w:r w:rsidRPr="00F0230E">
              <w:rPr>
                <w:sz w:val="20"/>
                <w:szCs w:val="20"/>
              </w:rPr>
              <w:t>n/a</w:t>
            </w:r>
          </w:p>
        </w:tc>
        <w:tc>
          <w:tcPr>
            <w:tcW w:w="2126" w:type="dxa"/>
          </w:tcPr>
          <w:p w14:paraId="6F8DB414" w14:textId="77777777" w:rsidR="002E413C" w:rsidRPr="00F0230E" w:rsidRDefault="002E413C" w:rsidP="00913ECB">
            <w:pPr>
              <w:rPr>
                <w:sz w:val="20"/>
                <w:szCs w:val="20"/>
              </w:rPr>
            </w:pPr>
            <w:r w:rsidRPr="00F0230E">
              <w:rPr>
                <w:sz w:val="20"/>
                <w:szCs w:val="20"/>
              </w:rPr>
              <w:t xml:space="preserve">3.4 metres </w:t>
            </w:r>
          </w:p>
        </w:tc>
      </w:tr>
      <w:tr w:rsidR="002E413C" w14:paraId="05C40728" w14:textId="77777777" w:rsidTr="00913ECB">
        <w:tc>
          <w:tcPr>
            <w:tcW w:w="1210" w:type="dxa"/>
          </w:tcPr>
          <w:p w14:paraId="50871D69" w14:textId="77777777" w:rsidR="002E413C" w:rsidRPr="00F0230E" w:rsidRDefault="002E413C" w:rsidP="00913ECB">
            <w:pPr>
              <w:rPr>
                <w:sz w:val="20"/>
                <w:szCs w:val="20"/>
              </w:rPr>
            </w:pPr>
            <w:r w:rsidRPr="00F0230E">
              <w:rPr>
                <w:rFonts w:cs="Arial"/>
                <w:sz w:val="20"/>
                <w:szCs w:val="20"/>
              </w:rPr>
              <w:t>B</w:t>
            </w:r>
          </w:p>
        </w:tc>
        <w:tc>
          <w:tcPr>
            <w:tcW w:w="2334" w:type="dxa"/>
          </w:tcPr>
          <w:p w14:paraId="6A802A4C" w14:textId="77777777" w:rsidR="002E413C" w:rsidRPr="00F0230E" w:rsidRDefault="002E413C" w:rsidP="00913ECB">
            <w:pPr>
              <w:spacing w:after="160"/>
              <w:rPr>
                <w:sz w:val="20"/>
                <w:szCs w:val="20"/>
              </w:rPr>
            </w:pPr>
            <w:r w:rsidRPr="00F0230E">
              <w:rPr>
                <w:sz w:val="20"/>
                <w:szCs w:val="20"/>
              </w:rPr>
              <w:t>0 metres</w:t>
            </w:r>
          </w:p>
        </w:tc>
        <w:tc>
          <w:tcPr>
            <w:tcW w:w="2410" w:type="dxa"/>
          </w:tcPr>
          <w:p w14:paraId="51E387B1" w14:textId="77777777" w:rsidR="002E413C" w:rsidRPr="00F0230E" w:rsidRDefault="002E413C" w:rsidP="00913ECB">
            <w:pPr>
              <w:rPr>
                <w:sz w:val="20"/>
                <w:szCs w:val="20"/>
              </w:rPr>
            </w:pPr>
            <w:r w:rsidRPr="00F0230E">
              <w:rPr>
                <w:sz w:val="20"/>
                <w:szCs w:val="20"/>
              </w:rPr>
              <w:t>9 metres</w:t>
            </w:r>
          </w:p>
        </w:tc>
        <w:tc>
          <w:tcPr>
            <w:tcW w:w="2126" w:type="dxa"/>
          </w:tcPr>
          <w:p w14:paraId="20D9623A" w14:textId="77777777" w:rsidR="002E413C" w:rsidRPr="00F0230E" w:rsidRDefault="002E413C" w:rsidP="00913ECB">
            <w:pPr>
              <w:spacing w:after="160"/>
              <w:rPr>
                <w:sz w:val="20"/>
                <w:szCs w:val="20"/>
              </w:rPr>
            </w:pPr>
            <w:r w:rsidRPr="00F0230E">
              <w:rPr>
                <w:sz w:val="20"/>
                <w:szCs w:val="20"/>
              </w:rPr>
              <w:t>7 metres</w:t>
            </w:r>
          </w:p>
        </w:tc>
        <w:tc>
          <w:tcPr>
            <w:tcW w:w="2126" w:type="dxa"/>
          </w:tcPr>
          <w:p w14:paraId="4E9A0524" w14:textId="77777777" w:rsidR="002E413C" w:rsidRPr="00F0230E" w:rsidRDefault="002E413C" w:rsidP="00913ECB">
            <w:pPr>
              <w:rPr>
                <w:sz w:val="20"/>
                <w:szCs w:val="20"/>
              </w:rPr>
            </w:pPr>
            <w:r w:rsidRPr="00F0230E">
              <w:rPr>
                <w:sz w:val="20"/>
                <w:szCs w:val="20"/>
              </w:rPr>
              <w:t>7 metres</w:t>
            </w:r>
          </w:p>
        </w:tc>
      </w:tr>
      <w:tr w:rsidR="002E413C" w14:paraId="5182B41F" w14:textId="77777777" w:rsidTr="00913ECB">
        <w:tc>
          <w:tcPr>
            <w:tcW w:w="1210" w:type="dxa"/>
          </w:tcPr>
          <w:p w14:paraId="4C532B2C" w14:textId="77777777" w:rsidR="002E413C" w:rsidRPr="00F0230E" w:rsidRDefault="002E413C" w:rsidP="00913ECB">
            <w:pPr>
              <w:rPr>
                <w:sz w:val="20"/>
                <w:szCs w:val="20"/>
              </w:rPr>
            </w:pPr>
            <w:r w:rsidRPr="00F0230E">
              <w:rPr>
                <w:rFonts w:cs="Arial"/>
                <w:sz w:val="20"/>
                <w:szCs w:val="20"/>
              </w:rPr>
              <w:t>C</w:t>
            </w:r>
          </w:p>
        </w:tc>
        <w:tc>
          <w:tcPr>
            <w:tcW w:w="2334" w:type="dxa"/>
          </w:tcPr>
          <w:p w14:paraId="2DAC262E" w14:textId="0D5606F0" w:rsidR="002E413C" w:rsidRPr="00F0230E" w:rsidRDefault="002711DA" w:rsidP="00913ECB">
            <w:pPr>
              <w:spacing w:after="160"/>
              <w:rPr>
                <w:sz w:val="20"/>
                <w:szCs w:val="20"/>
              </w:rPr>
            </w:pPr>
            <w:r w:rsidRPr="00F0230E">
              <w:rPr>
                <w:sz w:val="20"/>
                <w:szCs w:val="20"/>
              </w:rPr>
              <w:t>6</w:t>
            </w:r>
            <w:r w:rsidR="002E413C" w:rsidRPr="00F0230E">
              <w:rPr>
                <w:sz w:val="20"/>
                <w:szCs w:val="20"/>
              </w:rPr>
              <w:t>.5 metres</w:t>
            </w:r>
          </w:p>
        </w:tc>
        <w:tc>
          <w:tcPr>
            <w:tcW w:w="2410" w:type="dxa"/>
          </w:tcPr>
          <w:p w14:paraId="40417B77" w14:textId="77777777" w:rsidR="002E413C" w:rsidRPr="00F0230E" w:rsidRDefault="002E413C" w:rsidP="00913ECB">
            <w:pPr>
              <w:rPr>
                <w:sz w:val="20"/>
                <w:szCs w:val="20"/>
              </w:rPr>
            </w:pPr>
            <w:r w:rsidRPr="00F0230E">
              <w:rPr>
                <w:sz w:val="20"/>
                <w:szCs w:val="20"/>
              </w:rPr>
              <w:t>9 metres</w:t>
            </w:r>
          </w:p>
        </w:tc>
        <w:tc>
          <w:tcPr>
            <w:tcW w:w="2126" w:type="dxa"/>
          </w:tcPr>
          <w:p w14:paraId="2B2A6C62" w14:textId="77777777" w:rsidR="002E413C" w:rsidRPr="00F0230E" w:rsidRDefault="002E413C" w:rsidP="00913ECB">
            <w:pPr>
              <w:spacing w:after="160"/>
              <w:rPr>
                <w:sz w:val="20"/>
                <w:szCs w:val="20"/>
              </w:rPr>
            </w:pPr>
            <w:r w:rsidRPr="00F0230E">
              <w:rPr>
                <w:sz w:val="20"/>
                <w:szCs w:val="20"/>
              </w:rPr>
              <w:t>16.5 metres</w:t>
            </w:r>
          </w:p>
        </w:tc>
        <w:tc>
          <w:tcPr>
            <w:tcW w:w="2126" w:type="dxa"/>
          </w:tcPr>
          <w:p w14:paraId="158CB183" w14:textId="77777777" w:rsidR="002E413C" w:rsidRPr="00F0230E" w:rsidRDefault="002E413C" w:rsidP="00913ECB">
            <w:pPr>
              <w:rPr>
                <w:sz w:val="20"/>
                <w:szCs w:val="20"/>
              </w:rPr>
            </w:pPr>
            <w:r w:rsidRPr="00F0230E">
              <w:rPr>
                <w:sz w:val="20"/>
                <w:szCs w:val="20"/>
              </w:rPr>
              <w:t>16.5 metres</w:t>
            </w:r>
          </w:p>
        </w:tc>
      </w:tr>
      <w:tr w:rsidR="002E413C" w14:paraId="62A09121" w14:textId="77777777" w:rsidTr="00913ECB">
        <w:tc>
          <w:tcPr>
            <w:tcW w:w="1210" w:type="dxa"/>
          </w:tcPr>
          <w:p w14:paraId="1E44F8AF" w14:textId="77777777" w:rsidR="002E413C" w:rsidRPr="00F0230E" w:rsidRDefault="002E413C" w:rsidP="00913ECB">
            <w:pPr>
              <w:rPr>
                <w:sz w:val="20"/>
                <w:szCs w:val="20"/>
              </w:rPr>
            </w:pPr>
            <w:r w:rsidRPr="00F0230E">
              <w:rPr>
                <w:rFonts w:cs="Arial"/>
                <w:sz w:val="20"/>
                <w:szCs w:val="20"/>
              </w:rPr>
              <w:t>D</w:t>
            </w:r>
          </w:p>
        </w:tc>
        <w:tc>
          <w:tcPr>
            <w:tcW w:w="2334" w:type="dxa"/>
          </w:tcPr>
          <w:p w14:paraId="570508DF" w14:textId="77777777" w:rsidR="002E413C" w:rsidRPr="00F0230E" w:rsidRDefault="002E413C" w:rsidP="00913ECB">
            <w:pPr>
              <w:spacing w:after="160"/>
              <w:rPr>
                <w:sz w:val="20"/>
                <w:szCs w:val="20"/>
              </w:rPr>
            </w:pPr>
            <w:r w:rsidRPr="00F0230E">
              <w:rPr>
                <w:sz w:val="20"/>
                <w:szCs w:val="20"/>
              </w:rPr>
              <w:t>12 metres</w:t>
            </w:r>
          </w:p>
        </w:tc>
        <w:tc>
          <w:tcPr>
            <w:tcW w:w="2410" w:type="dxa"/>
          </w:tcPr>
          <w:p w14:paraId="77322ECC" w14:textId="77777777" w:rsidR="002E413C" w:rsidRPr="00F0230E" w:rsidRDefault="002E413C" w:rsidP="00913ECB">
            <w:pPr>
              <w:rPr>
                <w:sz w:val="20"/>
                <w:szCs w:val="20"/>
              </w:rPr>
            </w:pPr>
            <w:r w:rsidRPr="00F0230E">
              <w:rPr>
                <w:sz w:val="20"/>
                <w:szCs w:val="20"/>
              </w:rPr>
              <w:t>9 metres</w:t>
            </w:r>
          </w:p>
        </w:tc>
        <w:tc>
          <w:tcPr>
            <w:tcW w:w="2126" w:type="dxa"/>
          </w:tcPr>
          <w:p w14:paraId="5B3A3581" w14:textId="77777777" w:rsidR="002E413C" w:rsidRPr="00F0230E" w:rsidRDefault="002E413C" w:rsidP="00913ECB">
            <w:pPr>
              <w:spacing w:after="160"/>
              <w:rPr>
                <w:sz w:val="20"/>
                <w:szCs w:val="20"/>
              </w:rPr>
            </w:pPr>
            <w:r w:rsidRPr="00F0230E">
              <w:rPr>
                <w:sz w:val="20"/>
                <w:szCs w:val="20"/>
              </w:rPr>
              <w:t>20 metres</w:t>
            </w:r>
          </w:p>
        </w:tc>
        <w:tc>
          <w:tcPr>
            <w:tcW w:w="2126" w:type="dxa"/>
          </w:tcPr>
          <w:p w14:paraId="63237731" w14:textId="77777777" w:rsidR="002E413C" w:rsidRPr="00F0230E" w:rsidRDefault="002E413C" w:rsidP="00913ECB">
            <w:pPr>
              <w:rPr>
                <w:sz w:val="20"/>
                <w:szCs w:val="20"/>
              </w:rPr>
            </w:pPr>
            <w:r w:rsidRPr="00F0230E">
              <w:rPr>
                <w:sz w:val="20"/>
                <w:szCs w:val="20"/>
              </w:rPr>
              <w:t>20 metres</w:t>
            </w:r>
          </w:p>
        </w:tc>
      </w:tr>
    </w:tbl>
    <w:p w14:paraId="660B746A" w14:textId="77777777" w:rsidR="002E413C" w:rsidRDefault="002E413C" w:rsidP="00B150D9">
      <w:pPr>
        <w:rPr>
          <w:b/>
          <w:bCs/>
        </w:rPr>
      </w:pPr>
    </w:p>
    <w:p w14:paraId="58C6BFFC" w14:textId="77777777" w:rsidR="002E413C" w:rsidRDefault="002E413C" w:rsidP="00B150D9">
      <w:pPr>
        <w:rPr>
          <w:b/>
          <w:bCs/>
        </w:rPr>
      </w:pPr>
    </w:p>
    <w:p w14:paraId="63AB0A7E" w14:textId="77777777" w:rsidR="00D17C87" w:rsidRPr="00C13B94" w:rsidRDefault="00D17C87" w:rsidP="00D17C87">
      <w:pPr>
        <w:rPr>
          <w:b/>
          <w:bCs/>
          <w:sz w:val="20"/>
          <w:szCs w:val="28"/>
        </w:rPr>
      </w:pPr>
      <w:r w:rsidRPr="00C13B94">
        <w:rPr>
          <w:b/>
          <w:bCs/>
          <w:sz w:val="20"/>
          <w:szCs w:val="28"/>
        </w:rPr>
        <w:t>Built Form Outcome</w:t>
      </w:r>
    </w:p>
    <w:p w14:paraId="4D2AF05E" w14:textId="58D909EF" w:rsidR="007162AC" w:rsidRPr="00C13B94" w:rsidRDefault="008035F7" w:rsidP="005465D5">
      <w:pPr>
        <w:spacing w:before="120" w:line="280" w:lineRule="atLeast"/>
        <w:jc w:val="both"/>
        <w:rPr>
          <w:sz w:val="20"/>
          <w:szCs w:val="28"/>
        </w:rPr>
      </w:pPr>
      <w:r w:rsidRPr="00C13B94">
        <w:rPr>
          <w:sz w:val="20"/>
          <w:szCs w:val="28"/>
        </w:rPr>
        <w:t>F</w:t>
      </w:r>
      <w:r w:rsidR="007162AC" w:rsidRPr="00C13B94">
        <w:rPr>
          <w:sz w:val="20"/>
          <w:szCs w:val="28"/>
        </w:rPr>
        <w:t xml:space="preserve">uture-built form </w:t>
      </w:r>
      <w:r w:rsidRPr="00C13B94">
        <w:rPr>
          <w:sz w:val="20"/>
          <w:szCs w:val="28"/>
        </w:rPr>
        <w:t xml:space="preserve">that </w:t>
      </w:r>
      <w:r w:rsidR="007162AC" w:rsidRPr="00C13B94">
        <w:rPr>
          <w:sz w:val="20"/>
          <w:szCs w:val="28"/>
        </w:rPr>
        <w:t xml:space="preserve">adopts the heights and setbacks set out in the </w:t>
      </w:r>
      <w:r w:rsidR="00B229E7" w:rsidRPr="00C13B94">
        <w:rPr>
          <w:sz w:val="20"/>
          <w:szCs w:val="28"/>
        </w:rPr>
        <w:t>DDO;</w:t>
      </w:r>
      <w:r w:rsidR="007162AC" w:rsidRPr="00C13B94">
        <w:rPr>
          <w:sz w:val="20"/>
          <w:szCs w:val="28"/>
        </w:rPr>
        <w:t xml:space="preserve"> it would include:</w:t>
      </w:r>
    </w:p>
    <w:p w14:paraId="2A50EC28" w14:textId="6D86F71D" w:rsidR="002E413C" w:rsidRPr="00C13B94" w:rsidRDefault="002E413C" w:rsidP="005465D5">
      <w:pPr>
        <w:pStyle w:val="ESNumberedBullet1"/>
        <w:spacing w:before="120" w:line="280" w:lineRule="atLeast"/>
        <w:rPr>
          <w:sz w:val="20"/>
          <w:szCs w:val="28"/>
        </w:rPr>
      </w:pPr>
      <w:r w:rsidRPr="00C13B94">
        <w:rPr>
          <w:sz w:val="20"/>
          <w:szCs w:val="28"/>
        </w:rPr>
        <w:t xml:space="preserve">A </w:t>
      </w:r>
      <w:r w:rsidR="00B229E7" w:rsidRPr="00C13B94">
        <w:rPr>
          <w:sz w:val="20"/>
          <w:szCs w:val="28"/>
        </w:rPr>
        <w:t>single storey</w:t>
      </w:r>
      <w:r w:rsidRPr="00C13B94">
        <w:rPr>
          <w:sz w:val="20"/>
          <w:szCs w:val="28"/>
        </w:rPr>
        <w:t xml:space="preserve"> built form outcome to the </w:t>
      </w:r>
      <w:r w:rsidR="00033639" w:rsidRPr="00C13B94">
        <w:rPr>
          <w:sz w:val="20"/>
          <w:szCs w:val="28"/>
        </w:rPr>
        <w:t xml:space="preserve">north </w:t>
      </w:r>
      <w:r w:rsidRPr="00C13B94">
        <w:rPr>
          <w:sz w:val="20"/>
          <w:szCs w:val="28"/>
        </w:rPr>
        <w:t>of the site, with a maximum height of 3.4m.</w:t>
      </w:r>
    </w:p>
    <w:p w14:paraId="53BE8EFD" w14:textId="178A28EE" w:rsidR="00094D7F" w:rsidRPr="00C13B94" w:rsidRDefault="00094D7F" w:rsidP="005465D5">
      <w:pPr>
        <w:pStyle w:val="ESNumberedBullet1"/>
        <w:spacing w:before="120" w:line="280" w:lineRule="atLeast"/>
        <w:rPr>
          <w:sz w:val="20"/>
          <w:szCs w:val="28"/>
        </w:rPr>
      </w:pPr>
      <w:r w:rsidRPr="00C13B94">
        <w:rPr>
          <w:sz w:val="20"/>
          <w:szCs w:val="28"/>
        </w:rPr>
        <w:t>Staggered building height ranging from 7m along the western boundary, increasing up to 20m to the eastern boundary adjacent to the Melbourne Mills building.</w:t>
      </w:r>
    </w:p>
    <w:p w14:paraId="508074DF" w14:textId="524FDCDE" w:rsidR="00094D7F" w:rsidRPr="00C13B94" w:rsidRDefault="00094D7F" w:rsidP="005465D5">
      <w:pPr>
        <w:pStyle w:val="ESNumberedBullet1"/>
        <w:spacing w:before="120" w:line="280" w:lineRule="atLeast"/>
        <w:rPr>
          <w:sz w:val="20"/>
          <w:szCs w:val="28"/>
        </w:rPr>
      </w:pPr>
      <w:r w:rsidRPr="00C13B94">
        <w:rPr>
          <w:sz w:val="20"/>
          <w:szCs w:val="28"/>
        </w:rPr>
        <w:t>Development of part of a 7m tall portion of building, with no setback to the western boundary.</w:t>
      </w:r>
    </w:p>
    <w:p w14:paraId="6B107D9B" w14:textId="4285F882" w:rsidR="00094D7F" w:rsidRPr="00C13B94" w:rsidRDefault="00094D7F" w:rsidP="005465D5">
      <w:pPr>
        <w:pStyle w:val="ESNumberedBullet1"/>
        <w:spacing w:before="120" w:line="280" w:lineRule="atLeast"/>
        <w:rPr>
          <w:sz w:val="20"/>
          <w:szCs w:val="28"/>
        </w:rPr>
      </w:pPr>
      <w:r w:rsidRPr="00C13B94">
        <w:rPr>
          <w:sz w:val="20"/>
          <w:szCs w:val="28"/>
        </w:rPr>
        <w:t xml:space="preserve">Development of part of a 16.5m tall portion of building </w:t>
      </w:r>
      <w:bookmarkStart w:id="81" w:name="_Hlk141091754"/>
      <w:r w:rsidRPr="00C13B94">
        <w:rPr>
          <w:sz w:val="20"/>
          <w:szCs w:val="28"/>
        </w:rPr>
        <w:t xml:space="preserve">setback </w:t>
      </w:r>
      <w:bookmarkEnd w:id="81"/>
      <w:r w:rsidRPr="00C13B94">
        <w:rPr>
          <w:sz w:val="20"/>
          <w:szCs w:val="28"/>
        </w:rPr>
        <w:t xml:space="preserve">6.5m from the western boundary. </w:t>
      </w:r>
    </w:p>
    <w:p w14:paraId="72AF810B" w14:textId="5087389E" w:rsidR="00094D7F" w:rsidRPr="00C13B94" w:rsidRDefault="00094D7F" w:rsidP="005465D5">
      <w:pPr>
        <w:pStyle w:val="ESNumberedBullet1"/>
        <w:spacing w:before="120" w:line="280" w:lineRule="atLeast"/>
        <w:rPr>
          <w:sz w:val="20"/>
          <w:szCs w:val="28"/>
        </w:rPr>
      </w:pPr>
      <w:r w:rsidRPr="00C13B94">
        <w:rPr>
          <w:sz w:val="20"/>
          <w:szCs w:val="28"/>
        </w:rPr>
        <w:t>Development of part of a building with a 20m height setback 12m from the western boundary, immediately adjoining the Melbourne Mills building.</w:t>
      </w:r>
    </w:p>
    <w:p w14:paraId="2C019A7C" w14:textId="3FC549EA" w:rsidR="00B150D9" w:rsidRPr="00C13B94" w:rsidRDefault="00094D7F" w:rsidP="005465D5">
      <w:pPr>
        <w:pStyle w:val="ESNumberedBullet1"/>
        <w:spacing w:before="120" w:line="280" w:lineRule="atLeast"/>
        <w:rPr>
          <w:sz w:val="20"/>
          <w:szCs w:val="28"/>
        </w:rPr>
      </w:pPr>
      <w:r w:rsidRPr="00C13B94">
        <w:rPr>
          <w:sz w:val="20"/>
          <w:szCs w:val="28"/>
        </w:rPr>
        <w:t xml:space="preserve">Retaining the </w:t>
      </w:r>
      <w:r w:rsidR="00B150D9" w:rsidRPr="00C13B94">
        <w:rPr>
          <w:sz w:val="20"/>
          <w:szCs w:val="28"/>
        </w:rPr>
        <w:t xml:space="preserve">9m setback </w:t>
      </w:r>
      <w:r w:rsidRPr="00C13B94">
        <w:rPr>
          <w:sz w:val="20"/>
          <w:szCs w:val="28"/>
        </w:rPr>
        <w:t xml:space="preserve">from </w:t>
      </w:r>
      <w:r w:rsidR="00B150D9" w:rsidRPr="00C13B94">
        <w:rPr>
          <w:sz w:val="20"/>
          <w:szCs w:val="28"/>
        </w:rPr>
        <w:t xml:space="preserve">the rear boundary of the site. </w:t>
      </w:r>
    </w:p>
    <w:p w14:paraId="1162EE68" w14:textId="77777777" w:rsidR="00134E30" w:rsidRDefault="00134E30" w:rsidP="00B150D9">
      <w:pPr>
        <w:rPr>
          <w:b/>
          <w:bCs/>
        </w:rPr>
      </w:pPr>
    </w:p>
    <w:p w14:paraId="6BA8DB2F" w14:textId="25454CBD" w:rsidR="000E1423" w:rsidRPr="00C13B94" w:rsidRDefault="00094D7F" w:rsidP="008C6A3A">
      <w:pPr>
        <w:rPr>
          <w:color w:val="FF0000"/>
          <w:sz w:val="20"/>
          <w:szCs w:val="28"/>
        </w:rPr>
      </w:pPr>
      <w:r w:rsidRPr="00C13B94">
        <w:rPr>
          <w:b/>
          <w:bCs/>
          <w:sz w:val="20"/>
          <w:szCs w:val="28"/>
        </w:rPr>
        <w:t>Assessment</w:t>
      </w:r>
    </w:p>
    <w:p w14:paraId="04D0E92B" w14:textId="5086576A" w:rsidR="002E413C" w:rsidRPr="00C13B94" w:rsidRDefault="002E413C" w:rsidP="005465D5">
      <w:pPr>
        <w:pStyle w:val="ESNumberedBullet1"/>
        <w:spacing w:before="120" w:line="280" w:lineRule="atLeast"/>
        <w:rPr>
          <w:sz w:val="20"/>
          <w:szCs w:val="28"/>
        </w:rPr>
      </w:pPr>
      <w:r w:rsidRPr="00C13B94">
        <w:rPr>
          <w:sz w:val="20"/>
          <w:szCs w:val="28"/>
        </w:rPr>
        <w:t xml:space="preserve">A </w:t>
      </w:r>
      <w:r w:rsidR="00B229E7" w:rsidRPr="00C13B94">
        <w:rPr>
          <w:sz w:val="20"/>
          <w:szCs w:val="28"/>
        </w:rPr>
        <w:t>single storey-built</w:t>
      </w:r>
      <w:r w:rsidRPr="00C13B94">
        <w:rPr>
          <w:sz w:val="20"/>
          <w:szCs w:val="28"/>
        </w:rPr>
        <w:t xml:space="preserve"> form outcome to the rear of the site </w:t>
      </w:r>
      <w:r w:rsidR="00033639" w:rsidRPr="00C13B94">
        <w:rPr>
          <w:sz w:val="20"/>
          <w:szCs w:val="28"/>
        </w:rPr>
        <w:t>is an acceptable outcome. A maximum building height of 3</w:t>
      </w:r>
      <w:r w:rsidR="00F0230E">
        <w:rPr>
          <w:sz w:val="20"/>
          <w:szCs w:val="28"/>
        </w:rPr>
        <w:t>.</w:t>
      </w:r>
      <w:r w:rsidR="00033639" w:rsidRPr="00C13B94">
        <w:rPr>
          <w:sz w:val="20"/>
          <w:szCs w:val="28"/>
        </w:rPr>
        <w:t xml:space="preserve">4m will have limited visibility from sensitive receptors, given the existing street wall height and the topography of the site. This will have no impact on streetscape given its location within the site. </w:t>
      </w:r>
    </w:p>
    <w:p w14:paraId="619048B7" w14:textId="71D26D1B" w:rsidR="00094D7F" w:rsidRPr="00C13B94" w:rsidRDefault="00094D7F" w:rsidP="005465D5">
      <w:pPr>
        <w:pStyle w:val="ESNumberedBullet1"/>
        <w:spacing w:before="120" w:line="280" w:lineRule="atLeast"/>
        <w:rPr>
          <w:sz w:val="20"/>
          <w:szCs w:val="28"/>
        </w:rPr>
      </w:pPr>
      <w:r w:rsidRPr="00C13B94">
        <w:rPr>
          <w:sz w:val="20"/>
          <w:szCs w:val="28"/>
        </w:rPr>
        <w:t xml:space="preserve">The retention of the 9m setback to the northern boundary ensures that </w:t>
      </w:r>
      <w:r w:rsidR="00F06037" w:rsidRPr="00C13B94">
        <w:rPr>
          <w:sz w:val="20"/>
          <w:szCs w:val="28"/>
        </w:rPr>
        <w:t xml:space="preserve">built form outcomes </w:t>
      </w:r>
      <w:r w:rsidRPr="00C13B94">
        <w:rPr>
          <w:sz w:val="20"/>
          <w:szCs w:val="28"/>
        </w:rPr>
        <w:t>will not impact the amenity of the residential building to the north.</w:t>
      </w:r>
    </w:p>
    <w:p w14:paraId="67A52929" w14:textId="6E9DC3ED" w:rsidR="00095B72" w:rsidRPr="00C13B94" w:rsidRDefault="00F06037" w:rsidP="005465D5">
      <w:pPr>
        <w:pStyle w:val="ESNumberedBullet1"/>
        <w:spacing w:before="120" w:line="280" w:lineRule="atLeast"/>
        <w:rPr>
          <w:sz w:val="20"/>
          <w:szCs w:val="28"/>
        </w:rPr>
      </w:pPr>
      <w:r w:rsidRPr="00C13B94">
        <w:rPr>
          <w:sz w:val="20"/>
          <w:szCs w:val="28"/>
        </w:rPr>
        <w:t>Limiting building height to 7m adjacent to the western boundary reduces perceptions of building scale and assists in creating visual interest in the new built form.</w:t>
      </w:r>
    </w:p>
    <w:p w14:paraId="068DD597" w14:textId="1FD381D4" w:rsidR="00F06037" w:rsidRPr="005465D5" w:rsidRDefault="00095B72" w:rsidP="005465D5">
      <w:pPr>
        <w:pStyle w:val="ESNumberedBullet1"/>
        <w:spacing w:before="120" w:line="280" w:lineRule="atLeast"/>
        <w:rPr>
          <w:sz w:val="20"/>
          <w:szCs w:val="28"/>
        </w:rPr>
      </w:pPr>
      <w:r w:rsidRPr="00C13B94">
        <w:rPr>
          <w:sz w:val="20"/>
          <w:szCs w:val="28"/>
        </w:rPr>
        <w:t>No setback</w:t>
      </w:r>
      <w:r w:rsidR="00F06037" w:rsidRPr="00C13B94">
        <w:rPr>
          <w:sz w:val="20"/>
          <w:szCs w:val="28"/>
        </w:rPr>
        <w:t xml:space="preserve">s are proposed </w:t>
      </w:r>
      <w:r w:rsidRPr="00C13B94">
        <w:rPr>
          <w:sz w:val="20"/>
          <w:szCs w:val="28"/>
        </w:rPr>
        <w:t>to the southern elevation</w:t>
      </w:r>
      <w:r w:rsidR="00F06037" w:rsidRPr="00C13B94">
        <w:rPr>
          <w:sz w:val="20"/>
          <w:szCs w:val="28"/>
        </w:rPr>
        <w:t>. There is existing built form which adjoins the southern elevation of the Melbourne Mills building, and so it would be unreasonable to incorporate a setback in this location.</w:t>
      </w:r>
      <w:r w:rsidR="00F06037" w:rsidRPr="005465D5">
        <w:rPr>
          <w:sz w:val="20"/>
          <w:szCs w:val="28"/>
        </w:rPr>
        <w:t xml:space="preserve"> </w:t>
      </w:r>
    </w:p>
    <w:p w14:paraId="5DB8E890" w14:textId="7C715B9C" w:rsidR="00134E30" w:rsidRPr="00C13B94" w:rsidRDefault="00134E30" w:rsidP="005465D5">
      <w:pPr>
        <w:pStyle w:val="ESNumberedBullet1"/>
        <w:spacing w:before="120" w:line="280" w:lineRule="atLeast"/>
        <w:rPr>
          <w:sz w:val="20"/>
          <w:szCs w:val="28"/>
        </w:rPr>
      </w:pPr>
      <w:r w:rsidRPr="00C13B94">
        <w:rPr>
          <w:sz w:val="20"/>
          <w:szCs w:val="28"/>
        </w:rPr>
        <w:t xml:space="preserve">Ensuring future built form </w:t>
      </w:r>
      <w:r w:rsidR="0069221C" w:rsidRPr="00C13B94">
        <w:rPr>
          <w:sz w:val="20"/>
          <w:szCs w:val="28"/>
        </w:rPr>
        <w:t>remains below</w:t>
      </w:r>
      <w:r w:rsidRPr="00C13B94">
        <w:rPr>
          <w:sz w:val="20"/>
          <w:szCs w:val="28"/>
        </w:rPr>
        <w:t xml:space="preserve"> </w:t>
      </w:r>
      <w:r w:rsidR="00391DB9" w:rsidRPr="00C13B94">
        <w:rPr>
          <w:sz w:val="20"/>
          <w:szCs w:val="28"/>
        </w:rPr>
        <w:t xml:space="preserve">the </w:t>
      </w:r>
      <w:r w:rsidR="0069221C" w:rsidRPr="00C13B94">
        <w:rPr>
          <w:sz w:val="20"/>
          <w:szCs w:val="28"/>
        </w:rPr>
        <w:t xml:space="preserve">height of the </w:t>
      </w:r>
      <w:r w:rsidRPr="00C13B94">
        <w:rPr>
          <w:sz w:val="20"/>
          <w:szCs w:val="28"/>
        </w:rPr>
        <w:t xml:space="preserve">existing built </w:t>
      </w:r>
      <w:r w:rsidR="0069221C" w:rsidRPr="00C13B94">
        <w:rPr>
          <w:sz w:val="20"/>
          <w:szCs w:val="28"/>
        </w:rPr>
        <w:t xml:space="preserve">form, preventing any </w:t>
      </w:r>
      <w:r w:rsidRPr="00C13B94">
        <w:rPr>
          <w:sz w:val="20"/>
          <w:szCs w:val="28"/>
        </w:rPr>
        <w:t>visual</w:t>
      </w:r>
      <w:r w:rsidR="0069221C" w:rsidRPr="00C13B94">
        <w:rPr>
          <w:sz w:val="20"/>
          <w:szCs w:val="28"/>
        </w:rPr>
        <w:t xml:space="preserve"> </w:t>
      </w:r>
      <w:r w:rsidRPr="00C13B94">
        <w:rPr>
          <w:sz w:val="20"/>
          <w:szCs w:val="28"/>
        </w:rPr>
        <w:t>disrupt</w:t>
      </w:r>
      <w:r w:rsidR="0069221C" w:rsidRPr="00C13B94">
        <w:rPr>
          <w:sz w:val="20"/>
          <w:szCs w:val="28"/>
        </w:rPr>
        <w:t xml:space="preserve">ion to </w:t>
      </w:r>
      <w:r w:rsidRPr="00C13B94">
        <w:rPr>
          <w:sz w:val="20"/>
          <w:szCs w:val="28"/>
        </w:rPr>
        <w:t xml:space="preserve">the </w:t>
      </w:r>
      <w:r w:rsidR="0069221C" w:rsidRPr="00C13B94">
        <w:rPr>
          <w:sz w:val="20"/>
          <w:szCs w:val="28"/>
        </w:rPr>
        <w:t>primary southern</w:t>
      </w:r>
      <w:r w:rsidRPr="00C13B94">
        <w:rPr>
          <w:sz w:val="20"/>
          <w:szCs w:val="28"/>
        </w:rPr>
        <w:t xml:space="preserve"> and eastern facades of the Melbourne Mills building. The addition of an adjoining mass that conceals part of the west façade does not detract from the significance and character of the Melbourne Mills building.  </w:t>
      </w:r>
    </w:p>
    <w:p w14:paraId="6EB69D26" w14:textId="5D884078" w:rsidR="00A76B16" w:rsidRPr="00C13B94" w:rsidRDefault="00A76B16" w:rsidP="005465D5">
      <w:pPr>
        <w:pStyle w:val="ESNumberedBullet1"/>
        <w:spacing w:before="120" w:line="280" w:lineRule="atLeast"/>
        <w:rPr>
          <w:sz w:val="20"/>
          <w:szCs w:val="28"/>
        </w:rPr>
      </w:pPr>
      <w:r w:rsidRPr="00C13B94">
        <w:rPr>
          <w:sz w:val="20"/>
          <w:szCs w:val="28"/>
        </w:rPr>
        <w:t xml:space="preserve">The most important interface </w:t>
      </w:r>
      <w:r w:rsidR="0069221C" w:rsidRPr="00C13B94">
        <w:rPr>
          <w:sz w:val="20"/>
          <w:szCs w:val="28"/>
        </w:rPr>
        <w:t xml:space="preserve">of the </w:t>
      </w:r>
      <w:r w:rsidRPr="00C13B94">
        <w:rPr>
          <w:sz w:val="20"/>
          <w:szCs w:val="28"/>
        </w:rPr>
        <w:t>existing Melbourne Mills building is the southern interface along Arden Street. The development would have no impact on the southern interface given its positioning to the west.</w:t>
      </w:r>
    </w:p>
    <w:p w14:paraId="11A8F7C9" w14:textId="2A843C50" w:rsidR="008E3DE7" w:rsidRPr="00C13B94" w:rsidRDefault="00391DB9" w:rsidP="005465D5">
      <w:pPr>
        <w:pStyle w:val="ESNumberedBullet1"/>
        <w:spacing w:before="120" w:line="280" w:lineRule="atLeast"/>
        <w:rPr>
          <w:sz w:val="20"/>
          <w:szCs w:val="28"/>
        </w:rPr>
      </w:pPr>
      <w:r w:rsidRPr="00C13B94">
        <w:rPr>
          <w:sz w:val="20"/>
          <w:szCs w:val="28"/>
        </w:rPr>
        <w:lastRenderedPageBreak/>
        <w:t>T</w:t>
      </w:r>
      <w:r w:rsidR="00134E30" w:rsidRPr="00C13B94">
        <w:rPr>
          <w:sz w:val="20"/>
          <w:szCs w:val="28"/>
        </w:rPr>
        <w:t xml:space="preserve">he </w:t>
      </w:r>
      <w:r w:rsidRPr="00C13B94">
        <w:rPr>
          <w:sz w:val="20"/>
          <w:szCs w:val="28"/>
        </w:rPr>
        <w:t xml:space="preserve">built form outcome is </w:t>
      </w:r>
      <w:r w:rsidR="00134E30" w:rsidRPr="00C13B94">
        <w:rPr>
          <w:sz w:val="20"/>
          <w:szCs w:val="28"/>
        </w:rPr>
        <w:t>an appropriate response to the site and its context. A</w:t>
      </w:r>
      <w:r w:rsidRPr="00C13B94">
        <w:rPr>
          <w:sz w:val="20"/>
          <w:szCs w:val="28"/>
        </w:rPr>
        <w:t xml:space="preserve">ny </w:t>
      </w:r>
      <w:r w:rsidR="00134E30" w:rsidRPr="00C13B94">
        <w:rPr>
          <w:sz w:val="20"/>
          <w:szCs w:val="28"/>
        </w:rPr>
        <w:t xml:space="preserve">future building design will </w:t>
      </w:r>
      <w:r w:rsidRPr="00C13B94">
        <w:rPr>
          <w:sz w:val="20"/>
          <w:szCs w:val="28"/>
        </w:rPr>
        <w:t xml:space="preserve">need to respond to the slope requirements of the </w:t>
      </w:r>
      <w:r w:rsidR="00057529" w:rsidRPr="00C13B94">
        <w:rPr>
          <w:sz w:val="20"/>
          <w:szCs w:val="28"/>
        </w:rPr>
        <w:t>DDO and</w:t>
      </w:r>
      <w:r w:rsidR="00134E30" w:rsidRPr="00C13B94">
        <w:rPr>
          <w:sz w:val="20"/>
          <w:szCs w:val="28"/>
        </w:rPr>
        <w:t xml:space="preserve"> will naturally include articulation and fenestration that will reduce the perceived building scale and mass.</w:t>
      </w:r>
    </w:p>
    <w:p w14:paraId="74991671" w14:textId="77777777" w:rsidR="001C605E" w:rsidRDefault="001C605E" w:rsidP="001C605E">
      <w:pPr>
        <w:pStyle w:val="ListBullet"/>
        <w:numPr>
          <w:ilvl w:val="0"/>
          <w:numId w:val="0"/>
        </w:numPr>
        <w:ind w:left="284" w:hanging="284"/>
      </w:pPr>
    </w:p>
    <w:p w14:paraId="7825F9B8" w14:textId="1CAD3EA0" w:rsidR="00151B81" w:rsidRDefault="00336A91" w:rsidP="008C6A3A">
      <w:r>
        <w:rPr>
          <w:noProof/>
        </w:rPr>
        <w:drawing>
          <wp:inline distT="0" distB="0" distL="0" distR="0" wp14:anchorId="1AEBDCB3" wp14:editId="6D84EA96">
            <wp:extent cx="4459084" cy="2057400"/>
            <wp:effectExtent l="0" t="0" r="0" b="0"/>
            <wp:docPr id="32" name="Picture 32" descr="Rendered image of the existing building showing the proposed new built form in green. The new built form will gradually step up in height from the sites northern boundary to the Melbourne Mills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Rendered image of the existing building showing the proposed new built form in green. The new built form will gradually step up in height from the sites northern boundary to the Melbourne Mills building."/>
                    <pic:cNvPicPr/>
                  </pic:nvPicPr>
                  <pic:blipFill>
                    <a:blip r:embed="rId30"/>
                    <a:stretch>
                      <a:fillRect/>
                    </a:stretch>
                  </pic:blipFill>
                  <pic:spPr>
                    <a:xfrm>
                      <a:off x="0" y="0"/>
                      <a:ext cx="4509782" cy="2080792"/>
                    </a:xfrm>
                    <a:prstGeom prst="rect">
                      <a:avLst/>
                    </a:prstGeom>
                  </pic:spPr>
                </pic:pic>
              </a:graphicData>
            </a:graphic>
          </wp:inline>
        </w:drawing>
      </w:r>
    </w:p>
    <w:p w14:paraId="247477E0" w14:textId="24602137" w:rsidR="00FD3111" w:rsidRPr="008C6A3A" w:rsidRDefault="00151B81" w:rsidP="00FD3111">
      <w:pPr>
        <w:pStyle w:val="Caption"/>
        <w:jc w:val="both"/>
      </w:pPr>
      <w:bookmarkStart w:id="82" w:name="_Toc149851768"/>
      <w:r>
        <w:t xml:space="preserve">Figure </w:t>
      </w:r>
      <w:fldSimple w:instr=" SEQ Figure \* ARABIC ">
        <w:r w:rsidR="007F66EC">
          <w:rPr>
            <w:noProof/>
          </w:rPr>
          <w:t>8</w:t>
        </w:r>
      </w:fldSimple>
      <w:r w:rsidR="00FD3111">
        <w:rPr>
          <w:i w:val="0"/>
          <w:iCs w:val="0"/>
        </w:rPr>
        <w:tab/>
        <w:t xml:space="preserve">Illustrative </w:t>
      </w:r>
      <w:r w:rsidR="00FD3111" w:rsidRPr="000549F8">
        <w:rPr>
          <w:i w:val="0"/>
          <w:iCs w:val="0"/>
        </w:rPr>
        <w:t>Built Form Outcome</w:t>
      </w:r>
      <w:r w:rsidR="0069221C">
        <w:rPr>
          <w:i w:val="0"/>
          <w:iCs w:val="0"/>
        </w:rPr>
        <w:t xml:space="preserve"> - </w:t>
      </w:r>
      <w:r w:rsidR="0069221C" w:rsidRPr="008C6A3A">
        <w:rPr>
          <w:i w:val="0"/>
          <w:iCs w:val="0"/>
        </w:rPr>
        <w:t>Arden Street &amp; Macaulay Road</w:t>
      </w:r>
      <w:bookmarkEnd w:id="82"/>
    </w:p>
    <w:p w14:paraId="23278E17" w14:textId="1795F86F" w:rsidR="008E3DE7" w:rsidRDefault="00FD3111" w:rsidP="00FD3111">
      <w:pPr>
        <w:rPr>
          <w:i/>
          <w:iCs/>
          <w:sz w:val="14"/>
          <w:szCs w:val="18"/>
        </w:rPr>
      </w:pPr>
      <w:r w:rsidRPr="00D72578">
        <w:rPr>
          <w:i/>
          <w:iCs/>
          <w:sz w:val="14"/>
          <w:szCs w:val="18"/>
        </w:rPr>
        <w:t>Source: Airstream Architects</w:t>
      </w:r>
    </w:p>
    <w:p w14:paraId="6F6880FB" w14:textId="02270DBA" w:rsidR="004811B8" w:rsidRDefault="004811B8">
      <w:pPr>
        <w:spacing w:line="259" w:lineRule="auto"/>
        <w:contextualSpacing w:val="0"/>
        <w:rPr>
          <w:i/>
          <w:iCs/>
          <w:sz w:val="14"/>
          <w:szCs w:val="18"/>
        </w:rPr>
      </w:pPr>
      <w:r>
        <w:rPr>
          <w:i/>
          <w:iCs/>
          <w:sz w:val="14"/>
          <w:szCs w:val="18"/>
        </w:rPr>
        <w:br w:type="page"/>
      </w:r>
    </w:p>
    <w:p w14:paraId="6BD0D988" w14:textId="38876A72" w:rsidR="00326892" w:rsidRPr="001C2FD5" w:rsidRDefault="00326892" w:rsidP="008035F7">
      <w:pPr>
        <w:pStyle w:val="Heading2"/>
      </w:pPr>
      <w:bookmarkStart w:id="83" w:name="_Toc152146951"/>
      <w:r w:rsidRPr="001C2FD5">
        <w:lastRenderedPageBreak/>
        <w:t>Assessment of Stepped Building Form</w:t>
      </w:r>
      <w:bookmarkEnd w:id="83"/>
    </w:p>
    <w:p w14:paraId="5B29FD27" w14:textId="77777777" w:rsidR="00B36505" w:rsidRDefault="00B36505" w:rsidP="00416A7C"/>
    <w:p w14:paraId="425067B0" w14:textId="45D0BD75" w:rsidR="00416A7C" w:rsidRPr="00C13B94" w:rsidRDefault="00416A7C" w:rsidP="005465D5">
      <w:pPr>
        <w:spacing w:before="120" w:line="280" w:lineRule="atLeast"/>
        <w:jc w:val="both"/>
        <w:rPr>
          <w:sz w:val="20"/>
          <w:szCs w:val="28"/>
        </w:rPr>
      </w:pPr>
      <w:r w:rsidRPr="00C13B94">
        <w:rPr>
          <w:sz w:val="20"/>
          <w:szCs w:val="28"/>
        </w:rPr>
        <w:t xml:space="preserve">The DDO prepared in relation to the site </w:t>
      </w:r>
      <w:r w:rsidR="00330B50" w:rsidRPr="00C13B94">
        <w:rPr>
          <w:sz w:val="20"/>
          <w:szCs w:val="28"/>
        </w:rPr>
        <w:t xml:space="preserve">requires </w:t>
      </w:r>
      <w:r w:rsidRPr="00C13B94">
        <w:rPr>
          <w:sz w:val="20"/>
          <w:szCs w:val="28"/>
        </w:rPr>
        <w:t xml:space="preserve">that the built form outcome be stepped, progressively reducing overall height </w:t>
      </w:r>
      <w:r w:rsidR="000C6F91" w:rsidRPr="00C13B94">
        <w:rPr>
          <w:sz w:val="20"/>
          <w:szCs w:val="28"/>
        </w:rPr>
        <w:t>from east to west</w:t>
      </w:r>
      <w:r w:rsidRPr="00C13B94">
        <w:rPr>
          <w:sz w:val="20"/>
          <w:szCs w:val="28"/>
        </w:rPr>
        <w:t xml:space="preserve">. The built form outcomes </w:t>
      </w:r>
      <w:r w:rsidR="008035F7" w:rsidRPr="00C13B94">
        <w:rPr>
          <w:sz w:val="20"/>
          <w:szCs w:val="28"/>
        </w:rPr>
        <w:t>required by</w:t>
      </w:r>
      <w:r w:rsidRPr="00C13B94">
        <w:rPr>
          <w:sz w:val="20"/>
          <w:szCs w:val="28"/>
        </w:rPr>
        <w:t xml:space="preserve"> the DDO are </w:t>
      </w:r>
      <w:r w:rsidR="004B7FF2" w:rsidRPr="00C13B94">
        <w:rPr>
          <w:sz w:val="20"/>
          <w:szCs w:val="28"/>
        </w:rPr>
        <w:t xml:space="preserve">set out in </w:t>
      </w:r>
      <w:r w:rsidR="004B7FF2" w:rsidRPr="005465D5">
        <w:rPr>
          <w:b/>
          <w:bCs/>
          <w:sz w:val="20"/>
          <w:szCs w:val="28"/>
        </w:rPr>
        <w:t>Table 5</w:t>
      </w:r>
      <w:r w:rsidR="004B7FF2" w:rsidRPr="00C13B94">
        <w:rPr>
          <w:sz w:val="20"/>
          <w:szCs w:val="28"/>
        </w:rPr>
        <w:t>.</w:t>
      </w:r>
      <w:r w:rsidRPr="00C13B94">
        <w:rPr>
          <w:sz w:val="20"/>
          <w:szCs w:val="28"/>
        </w:rPr>
        <w:t xml:space="preserve"> </w:t>
      </w:r>
    </w:p>
    <w:p w14:paraId="0174B337" w14:textId="77777777" w:rsidR="00416A7C" w:rsidRPr="00C13B94" w:rsidRDefault="00416A7C" w:rsidP="005465D5">
      <w:pPr>
        <w:spacing w:before="120" w:line="280" w:lineRule="atLeast"/>
        <w:jc w:val="both"/>
        <w:rPr>
          <w:sz w:val="20"/>
          <w:szCs w:val="28"/>
        </w:rPr>
      </w:pPr>
    </w:p>
    <w:p w14:paraId="55E6B7E0" w14:textId="46160E2A" w:rsidR="00634203" w:rsidRPr="00C13B94" w:rsidRDefault="004C6A8C" w:rsidP="005465D5">
      <w:pPr>
        <w:spacing w:before="120" w:line="280" w:lineRule="atLeast"/>
        <w:jc w:val="both"/>
        <w:rPr>
          <w:sz w:val="20"/>
          <w:szCs w:val="28"/>
        </w:rPr>
      </w:pPr>
      <w:r w:rsidRPr="00C13B94">
        <w:rPr>
          <w:sz w:val="20"/>
          <w:szCs w:val="28"/>
        </w:rPr>
        <w:t>The number of height transitions is limited to three, to reflect the rhythm of the streetscape along Arden Street and Macaulay Road.</w:t>
      </w:r>
      <w:r w:rsidR="00634203" w:rsidRPr="00C13B94">
        <w:rPr>
          <w:sz w:val="20"/>
          <w:szCs w:val="28"/>
        </w:rPr>
        <w:t xml:space="preserve"> As earlier described, the building heights in the surrounding area are generally 3-4 stories, though there </w:t>
      </w:r>
      <w:r w:rsidR="0085670F" w:rsidRPr="00C13B94">
        <w:rPr>
          <w:sz w:val="20"/>
          <w:szCs w:val="28"/>
        </w:rPr>
        <w:t xml:space="preserve">are </w:t>
      </w:r>
      <w:r w:rsidR="00634203" w:rsidRPr="00C13B94">
        <w:rPr>
          <w:sz w:val="20"/>
          <w:szCs w:val="28"/>
        </w:rPr>
        <w:t>regularly significant variation</w:t>
      </w:r>
      <w:r w:rsidR="0085670F" w:rsidRPr="00C13B94">
        <w:rPr>
          <w:sz w:val="20"/>
          <w:szCs w:val="28"/>
        </w:rPr>
        <w:t>s</w:t>
      </w:r>
      <w:r w:rsidR="00634203" w:rsidRPr="00C13B94">
        <w:rPr>
          <w:sz w:val="20"/>
          <w:szCs w:val="28"/>
        </w:rPr>
        <w:t xml:space="preserve"> in building height. Likewise, the emerging built form context as recognised through the Arden PSP will enable a significant increase in building heights proximate to the site. </w:t>
      </w:r>
    </w:p>
    <w:p w14:paraId="4F5A63C8" w14:textId="77777777" w:rsidR="00634203" w:rsidRPr="00C13B94" w:rsidRDefault="00634203" w:rsidP="005465D5">
      <w:pPr>
        <w:spacing w:before="120" w:line="280" w:lineRule="atLeast"/>
        <w:jc w:val="both"/>
        <w:rPr>
          <w:sz w:val="20"/>
          <w:szCs w:val="28"/>
        </w:rPr>
      </w:pPr>
    </w:p>
    <w:p w14:paraId="0A93DAEE" w14:textId="4F490756" w:rsidR="008035F7" w:rsidRPr="00C13B94" w:rsidRDefault="00634203" w:rsidP="005465D5">
      <w:pPr>
        <w:spacing w:before="120" w:line="280" w:lineRule="atLeast"/>
        <w:jc w:val="both"/>
        <w:rPr>
          <w:sz w:val="20"/>
          <w:szCs w:val="28"/>
        </w:rPr>
      </w:pPr>
      <w:r w:rsidRPr="00C13B94">
        <w:rPr>
          <w:sz w:val="20"/>
          <w:szCs w:val="28"/>
        </w:rPr>
        <w:t>The</w:t>
      </w:r>
      <w:r w:rsidR="008035F7" w:rsidRPr="00C13B94">
        <w:rPr>
          <w:sz w:val="20"/>
          <w:szCs w:val="28"/>
        </w:rPr>
        <w:t xml:space="preserve"> resulting</w:t>
      </w:r>
      <w:r w:rsidRPr="00C13B94">
        <w:rPr>
          <w:sz w:val="20"/>
          <w:szCs w:val="28"/>
        </w:rPr>
        <w:t xml:space="preserve"> stepped built form will ensure that there is a gradual </w:t>
      </w:r>
      <w:r w:rsidR="00FA015D" w:rsidRPr="00C13B94">
        <w:rPr>
          <w:sz w:val="20"/>
          <w:szCs w:val="28"/>
        </w:rPr>
        <w:t>decrease in</w:t>
      </w:r>
      <w:r w:rsidRPr="00C13B94">
        <w:rPr>
          <w:sz w:val="20"/>
          <w:szCs w:val="28"/>
        </w:rPr>
        <w:t xml:space="preserve"> the building form, which will </w:t>
      </w:r>
      <w:r w:rsidR="008A677B" w:rsidRPr="00C13B94">
        <w:rPr>
          <w:sz w:val="20"/>
          <w:szCs w:val="28"/>
        </w:rPr>
        <w:t xml:space="preserve">provide </w:t>
      </w:r>
      <w:r w:rsidRPr="00C13B94">
        <w:rPr>
          <w:sz w:val="20"/>
          <w:szCs w:val="28"/>
        </w:rPr>
        <w:t xml:space="preserve">an appropriate transition </w:t>
      </w:r>
      <w:r w:rsidR="008035F7" w:rsidRPr="00C13B94">
        <w:rPr>
          <w:sz w:val="20"/>
          <w:szCs w:val="28"/>
        </w:rPr>
        <w:t>to</w:t>
      </w:r>
      <w:r w:rsidRPr="00C13B94">
        <w:rPr>
          <w:sz w:val="20"/>
          <w:szCs w:val="28"/>
        </w:rPr>
        <w:t xml:space="preserve"> the western </w:t>
      </w:r>
      <w:r w:rsidR="00330B50" w:rsidRPr="00C13B94">
        <w:rPr>
          <w:sz w:val="20"/>
          <w:szCs w:val="28"/>
        </w:rPr>
        <w:t xml:space="preserve">interface </w:t>
      </w:r>
      <w:r w:rsidRPr="00C13B94">
        <w:rPr>
          <w:sz w:val="20"/>
          <w:szCs w:val="28"/>
        </w:rPr>
        <w:t>of the site</w:t>
      </w:r>
      <w:r w:rsidR="0085670F" w:rsidRPr="00C13B94">
        <w:rPr>
          <w:sz w:val="20"/>
          <w:szCs w:val="28"/>
        </w:rPr>
        <w:t xml:space="preserve">, </w:t>
      </w:r>
      <w:r w:rsidR="000C6F91" w:rsidRPr="00C13B94">
        <w:rPr>
          <w:sz w:val="20"/>
          <w:szCs w:val="28"/>
        </w:rPr>
        <w:t xml:space="preserve">that </w:t>
      </w:r>
      <w:r w:rsidR="0085670F" w:rsidRPr="00C13B94">
        <w:rPr>
          <w:sz w:val="20"/>
          <w:szCs w:val="28"/>
        </w:rPr>
        <w:t xml:space="preserve">occupies a more prominent corner position. </w:t>
      </w:r>
      <w:r w:rsidR="006E23A8" w:rsidRPr="00C13B94">
        <w:rPr>
          <w:sz w:val="20"/>
          <w:szCs w:val="28"/>
        </w:rPr>
        <w:t>The</w:t>
      </w:r>
      <w:r w:rsidR="008035F7" w:rsidRPr="00C13B94">
        <w:rPr>
          <w:sz w:val="20"/>
          <w:szCs w:val="28"/>
        </w:rPr>
        <w:t xml:space="preserve"> DDO requirements will produce future built form that</w:t>
      </w:r>
      <w:r w:rsidR="0085670F" w:rsidRPr="00C13B94">
        <w:rPr>
          <w:sz w:val="20"/>
          <w:szCs w:val="28"/>
        </w:rPr>
        <w:t xml:space="preserve"> </w:t>
      </w:r>
      <w:r w:rsidR="00B36505" w:rsidRPr="00C13B94">
        <w:rPr>
          <w:sz w:val="20"/>
          <w:szCs w:val="28"/>
        </w:rPr>
        <w:t xml:space="preserve">reduces </w:t>
      </w:r>
      <w:r w:rsidR="008035F7" w:rsidRPr="00C13B94">
        <w:rPr>
          <w:sz w:val="20"/>
          <w:szCs w:val="28"/>
        </w:rPr>
        <w:t>from the east, which is characterised by the 20m Melbourne Mills building, in a graduated manner</w:t>
      </w:r>
      <w:r w:rsidR="0085670F" w:rsidRPr="00C13B94">
        <w:rPr>
          <w:sz w:val="20"/>
          <w:szCs w:val="28"/>
        </w:rPr>
        <w:t xml:space="preserve"> </w:t>
      </w:r>
      <w:r w:rsidRPr="00C13B94">
        <w:rPr>
          <w:sz w:val="20"/>
          <w:szCs w:val="28"/>
        </w:rPr>
        <w:t xml:space="preserve">to the </w:t>
      </w:r>
      <w:r w:rsidR="008A677B" w:rsidRPr="00C13B94">
        <w:rPr>
          <w:sz w:val="20"/>
          <w:szCs w:val="28"/>
        </w:rPr>
        <w:t>west</w:t>
      </w:r>
      <w:r w:rsidRPr="00C13B94">
        <w:rPr>
          <w:sz w:val="20"/>
          <w:szCs w:val="28"/>
        </w:rPr>
        <w:t xml:space="preserve"> </w:t>
      </w:r>
      <w:r w:rsidR="008035F7" w:rsidRPr="00C13B94">
        <w:rPr>
          <w:sz w:val="20"/>
          <w:szCs w:val="28"/>
        </w:rPr>
        <w:t>characterised by the dual street interfaces at the intersection of Arden Street and Macaulay Road.</w:t>
      </w:r>
      <w:r w:rsidR="00187671" w:rsidRPr="00C13B94">
        <w:rPr>
          <w:sz w:val="20"/>
          <w:szCs w:val="28"/>
        </w:rPr>
        <w:t xml:space="preserve"> </w:t>
      </w:r>
    </w:p>
    <w:p w14:paraId="74BA6251" w14:textId="77777777" w:rsidR="008A677B" w:rsidRPr="00C13B94" w:rsidRDefault="008A677B" w:rsidP="005465D5">
      <w:pPr>
        <w:spacing w:before="120" w:line="280" w:lineRule="atLeast"/>
        <w:jc w:val="both"/>
        <w:rPr>
          <w:sz w:val="20"/>
          <w:szCs w:val="28"/>
        </w:rPr>
      </w:pPr>
    </w:p>
    <w:p w14:paraId="3BD93B40" w14:textId="124CF521" w:rsidR="008A677B" w:rsidRPr="00C13B94" w:rsidRDefault="008A677B" w:rsidP="005465D5">
      <w:pPr>
        <w:spacing w:before="120" w:line="280" w:lineRule="atLeast"/>
        <w:jc w:val="both"/>
        <w:rPr>
          <w:sz w:val="20"/>
          <w:szCs w:val="28"/>
        </w:rPr>
      </w:pPr>
      <w:r w:rsidRPr="00C13B94">
        <w:rPr>
          <w:sz w:val="20"/>
          <w:szCs w:val="28"/>
        </w:rPr>
        <w:t>The</w:t>
      </w:r>
      <w:r w:rsidR="002238AB" w:rsidRPr="00C13B94">
        <w:rPr>
          <w:sz w:val="20"/>
          <w:szCs w:val="28"/>
        </w:rPr>
        <w:t xml:space="preserve"> </w:t>
      </w:r>
      <w:r w:rsidR="000C6F91" w:rsidRPr="00C13B94">
        <w:rPr>
          <w:sz w:val="20"/>
          <w:szCs w:val="28"/>
        </w:rPr>
        <w:t xml:space="preserve">portion of the site with a </w:t>
      </w:r>
      <w:r w:rsidRPr="00C13B94">
        <w:rPr>
          <w:sz w:val="20"/>
          <w:szCs w:val="28"/>
        </w:rPr>
        <w:t xml:space="preserve">20m height </w:t>
      </w:r>
      <w:r w:rsidR="00D77969" w:rsidRPr="00C13B94">
        <w:rPr>
          <w:sz w:val="20"/>
          <w:szCs w:val="28"/>
        </w:rPr>
        <w:t xml:space="preserve">limit </w:t>
      </w:r>
      <w:r w:rsidR="00330B50" w:rsidRPr="00C13B94">
        <w:rPr>
          <w:sz w:val="20"/>
          <w:szCs w:val="28"/>
        </w:rPr>
        <w:t xml:space="preserve">is </w:t>
      </w:r>
      <w:r w:rsidR="002238AB" w:rsidRPr="00C13B94">
        <w:rPr>
          <w:sz w:val="20"/>
          <w:szCs w:val="28"/>
        </w:rPr>
        <w:t>immediately</w:t>
      </w:r>
      <w:r w:rsidRPr="00C13B94">
        <w:rPr>
          <w:sz w:val="20"/>
          <w:szCs w:val="28"/>
        </w:rPr>
        <w:t xml:space="preserve"> adjoining the Melbourne Mills Building. Th</w:t>
      </w:r>
      <w:r w:rsidR="000C6F91" w:rsidRPr="00C13B94">
        <w:rPr>
          <w:sz w:val="20"/>
          <w:szCs w:val="28"/>
        </w:rPr>
        <w:t xml:space="preserve">e 20m component applied to a 31m portion of the </w:t>
      </w:r>
      <w:r w:rsidR="001C2FD5" w:rsidRPr="00C13B94">
        <w:rPr>
          <w:sz w:val="20"/>
          <w:szCs w:val="28"/>
        </w:rPr>
        <w:t>frontage.</w:t>
      </w:r>
      <w:r w:rsidRPr="00C13B94">
        <w:rPr>
          <w:sz w:val="20"/>
          <w:szCs w:val="28"/>
        </w:rPr>
        <w:t xml:space="preserve"> </w:t>
      </w:r>
      <w:r w:rsidR="002238AB" w:rsidRPr="00C13B94">
        <w:rPr>
          <w:sz w:val="20"/>
          <w:szCs w:val="28"/>
        </w:rPr>
        <w:t xml:space="preserve">This </w:t>
      </w:r>
      <w:r w:rsidR="000C6F91" w:rsidRPr="00C13B94">
        <w:rPr>
          <w:sz w:val="20"/>
          <w:szCs w:val="28"/>
        </w:rPr>
        <w:t xml:space="preserve">relates </w:t>
      </w:r>
      <w:r w:rsidRPr="00C13B94">
        <w:rPr>
          <w:sz w:val="20"/>
          <w:szCs w:val="28"/>
        </w:rPr>
        <w:t>the extent of the existing</w:t>
      </w:r>
      <w:r w:rsidR="000C6F91" w:rsidRPr="00C13B94">
        <w:rPr>
          <w:sz w:val="20"/>
          <w:szCs w:val="28"/>
        </w:rPr>
        <w:t xml:space="preserve"> commercial</w:t>
      </w:r>
      <w:r w:rsidRPr="00C13B94">
        <w:rPr>
          <w:sz w:val="20"/>
          <w:szCs w:val="28"/>
        </w:rPr>
        <w:t xml:space="preserve"> </w:t>
      </w:r>
      <w:r w:rsidR="000C6F91" w:rsidRPr="00C13B94">
        <w:rPr>
          <w:sz w:val="20"/>
          <w:szCs w:val="28"/>
        </w:rPr>
        <w:t>constructed to Arden Street and</w:t>
      </w:r>
      <w:r w:rsidRPr="00C13B94">
        <w:rPr>
          <w:sz w:val="20"/>
          <w:szCs w:val="28"/>
        </w:rPr>
        <w:t xml:space="preserve"> enables its retention/adaptation as part of a</w:t>
      </w:r>
      <w:r w:rsidR="000C6F91" w:rsidRPr="00C13B94">
        <w:rPr>
          <w:sz w:val="20"/>
          <w:szCs w:val="28"/>
        </w:rPr>
        <w:t>ny</w:t>
      </w:r>
      <w:r w:rsidRPr="00C13B94">
        <w:rPr>
          <w:sz w:val="20"/>
          <w:szCs w:val="28"/>
        </w:rPr>
        <w:t xml:space="preserve"> future development outcome. </w:t>
      </w:r>
      <w:r w:rsidR="000C6F91" w:rsidRPr="00C13B94">
        <w:rPr>
          <w:sz w:val="20"/>
          <w:szCs w:val="28"/>
        </w:rPr>
        <w:t>Future built form in in its location will not impact the western interface or views to the west as</w:t>
      </w:r>
      <w:r w:rsidRPr="00C13B94">
        <w:rPr>
          <w:sz w:val="20"/>
          <w:szCs w:val="28"/>
        </w:rPr>
        <w:t xml:space="preserve"> the positioning of the Melbourne Mills building, which is of a greater overall height</w:t>
      </w:r>
      <w:r w:rsidR="000C6F91" w:rsidRPr="00C13B94">
        <w:rPr>
          <w:sz w:val="20"/>
          <w:szCs w:val="28"/>
        </w:rPr>
        <w:t>, blocks view</w:t>
      </w:r>
      <w:r w:rsidRPr="00C13B94">
        <w:rPr>
          <w:sz w:val="20"/>
          <w:szCs w:val="28"/>
        </w:rPr>
        <w:t xml:space="preserve">. The </w:t>
      </w:r>
      <w:r w:rsidR="000C6F91" w:rsidRPr="00C13B94">
        <w:rPr>
          <w:sz w:val="20"/>
          <w:szCs w:val="28"/>
        </w:rPr>
        <w:t>presentation to</w:t>
      </w:r>
      <w:r w:rsidRPr="00C13B94">
        <w:rPr>
          <w:sz w:val="20"/>
          <w:szCs w:val="28"/>
        </w:rPr>
        <w:t xml:space="preserve"> Arden Street is an acceptable outcome and </w:t>
      </w:r>
      <w:r w:rsidR="000C6F91" w:rsidRPr="00C13B94">
        <w:rPr>
          <w:sz w:val="20"/>
          <w:szCs w:val="28"/>
        </w:rPr>
        <w:t xml:space="preserve">will </w:t>
      </w:r>
      <w:r w:rsidRPr="00C13B94">
        <w:rPr>
          <w:sz w:val="20"/>
          <w:szCs w:val="28"/>
        </w:rPr>
        <w:t xml:space="preserve">reflect the existing </w:t>
      </w:r>
      <w:r w:rsidR="002238AB" w:rsidRPr="00C13B94">
        <w:rPr>
          <w:sz w:val="20"/>
          <w:szCs w:val="28"/>
        </w:rPr>
        <w:t>built-form</w:t>
      </w:r>
      <w:r w:rsidRPr="00C13B94">
        <w:rPr>
          <w:sz w:val="20"/>
          <w:szCs w:val="28"/>
        </w:rPr>
        <w:t xml:space="preserve"> character and interface associated with the Melbourne Mills building.</w:t>
      </w:r>
    </w:p>
    <w:p w14:paraId="099A644F" w14:textId="77777777" w:rsidR="008A677B" w:rsidRPr="00C13B94" w:rsidRDefault="008A677B" w:rsidP="005465D5">
      <w:pPr>
        <w:spacing w:before="120" w:line="280" w:lineRule="atLeast"/>
        <w:jc w:val="both"/>
        <w:rPr>
          <w:sz w:val="20"/>
          <w:szCs w:val="28"/>
        </w:rPr>
      </w:pPr>
    </w:p>
    <w:p w14:paraId="19BF5CE0" w14:textId="17A84E79" w:rsidR="00570A0F" w:rsidRPr="00C13B94" w:rsidRDefault="000C6F91" w:rsidP="005465D5">
      <w:pPr>
        <w:spacing w:before="120" w:line="280" w:lineRule="atLeast"/>
        <w:jc w:val="both"/>
        <w:rPr>
          <w:sz w:val="20"/>
          <w:szCs w:val="28"/>
        </w:rPr>
      </w:pPr>
      <w:r w:rsidRPr="00C13B94">
        <w:rPr>
          <w:sz w:val="20"/>
          <w:szCs w:val="28"/>
        </w:rPr>
        <w:t>Further to the west</w:t>
      </w:r>
      <w:r w:rsidR="00442A85" w:rsidRPr="00C13B94">
        <w:rPr>
          <w:sz w:val="20"/>
          <w:szCs w:val="28"/>
        </w:rPr>
        <w:t>,</w:t>
      </w:r>
      <w:r w:rsidRPr="00C13B94">
        <w:rPr>
          <w:sz w:val="20"/>
          <w:szCs w:val="28"/>
        </w:rPr>
        <w:t xml:space="preserve"> the </w:t>
      </w:r>
      <w:r w:rsidR="001C2FD5" w:rsidRPr="00C13B94">
        <w:rPr>
          <w:sz w:val="20"/>
          <w:szCs w:val="28"/>
        </w:rPr>
        <w:t>DDO sets</w:t>
      </w:r>
      <w:r w:rsidRPr="00C13B94">
        <w:rPr>
          <w:sz w:val="20"/>
          <w:szCs w:val="28"/>
        </w:rPr>
        <w:t xml:space="preserve"> out a reduced maximum building height of</w:t>
      </w:r>
      <w:r w:rsidR="00570A0F" w:rsidRPr="00C13B94">
        <w:rPr>
          <w:sz w:val="20"/>
          <w:szCs w:val="28"/>
        </w:rPr>
        <w:t xml:space="preserve"> 16.5m. Th</w:t>
      </w:r>
      <w:r w:rsidRPr="00C13B94">
        <w:rPr>
          <w:sz w:val="20"/>
          <w:szCs w:val="28"/>
        </w:rPr>
        <w:t>e 16.5m building height applies to</w:t>
      </w:r>
      <w:r w:rsidR="00570A0F" w:rsidRPr="00C13B94">
        <w:rPr>
          <w:sz w:val="20"/>
          <w:szCs w:val="28"/>
        </w:rPr>
        <w:t xml:space="preserve"> </w:t>
      </w:r>
      <w:r w:rsidRPr="00C13B94">
        <w:rPr>
          <w:sz w:val="20"/>
          <w:szCs w:val="28"/>
        </w:rPr>
        <w:t xml:space="preserve">a </w:t>
      </w:r>
      <w:r w:rsidR="00442A85" w:rsidRPr="00C13B94">
        <w:rPr>
          <w:sz w:val="20"/>
          <w:szCs w:val="28"/>
        </w:rPr>
        <w:t>width of</w:t>
      </w:r>
      <w:r w:rsidR="00570A0F" w:rsidRPr="00C13B94">
        <w:rPr>
          <w:sz w:val="20"/>
          <w:szCs w:val="28"/>
        </w:rPr>
        <w:t xml:space="preserve"> </w:t>
      </w:r>
      <w:r w:rsidR="00A40850" w:rsidRPr="00C13B94">
        <w:rPr>
          <w:sz w:val="20"/>
          <w:szCs w:val="28"/>
        </w:rPr>
        <w:t>5.</w:t>
      </w:r>
      <w:r w:rsidR="00104FAA" w:rsidRPr="00C13B94">
        <w:rPr>
          <w:sz w:val="20"/>
          <w:szCs w:val="28"/>
        </w:rPr>
        <w:t>5m</w:t>
      </w:r>
      <w:r w:rsidR="00570A0F" w:rsidRPr="00C13B94">
        <w:rPr>
          <w:sz w:val="20"/>
          <w:szCs w:val="28"/>
        </w:rPr>
        <w:t>.</w:t>
      </w:r>
      <w:r w:rsidR="00B7716C" w:rsidRPr="00C13B94">
        <w:rPr>
          <w:sz w:val="20"/>
          <w:szCs w:val="28"/>
        </w:rPr>
        <w:t xml:space="preserve"> This gradual </w:t>
      </w:r>
      <w:r w:rsidR="00330B50" w:rsidRPr="00C13B94">
        <w:rPr>
          <w:sz w:val="20"/>
          <w:szCs w:val="28"/>
        </w:rPr>
        <w:t xml:space="preserve">reduction </w:t>
      </w:r>
      <w:r w:rsidR="00B7716C" w:rsidRPr="00C13B94">
        <w:rPr>
          <w:sz w:val="20"/>
          <w:szCs w:val="28"/>
        </w:rPr>
        <w:t xml:space="preserve">in height ensures that the built form </w:t>
      </w:r>
      <w:r w:rsidR="00442A85" w:rsidRPr="00C13B94">
        <w:rPr>
          <w:sz w:val="20"/>
          <w:szCs w:val="28"/>
        </w:rPr>
        <w:t xml:space="preserve">continues to provide a pedestrian scale street </w:t>
      </w:r>
      <w:r w:rsidR="001C2FD5" w:rsidRPr="00C13B94">
        <w:rPr>
          <w:sz w:val="20"/>
          <w:szCs w:val="28"/>
        </w:rPr>
        <w:t>interface</w:t>
      </w:r>
      <w:r w:rsidR="00442A85" w:rsidRPr="00C13B94">
        <w:rPr>
          <w:sz w:val="20"/>
          <w:szCs w:val="28"/>
        </w:rPr>
        <w:t xml:space="preserve"> while responding to the slope of the land, the character of building heights and widths to Arden Street and the greater </w:t>
      </w:r>
      <w:r w:rsidR="001C2FD5" w:rsidRPr="00C13B94">
        <w:rPr>
          <w:sz w:val="20"/>
          <w:szCs w:val="28"/>
        </w:rPr>
        <w:t>sensitivity</w:t>
      </w:r>
      <w:r w:rsidR="00442A85" w:rsidRPr="00C13B94">
        <w:rPr>
          <w:sz w:val="20"/>
          <w:szCs w:val="28"/>
        </w:rPr>
        <w:t xml:space="preserve"> of views to the west. </w:t>
      </w:r>
    </w:p>
    <w:p w14:paraId="281F638A" w14:textId="77777777" w:rsidR="008A677B" w:rsidRPr="00C13B94" w:rsidRDefault="008A677B" w:rsidP="005465D5">
      <w:pPr>
        <w:spacing w:before="120" w:line="280" w:lineRule="atLeast"/>
        <w:jc w:val="both"/>
        <w:rPr>
          <w:sz w:val="20"/>
          <w:szCs w:val="28"/>
        </w:rPr>
      </w:pPr>
    </w:p>
    <w:p w14:paraId="6EAECA28" w14:textId="6754EA4F" w:rsidR="008A677B" w:rsidRPr="00C13B94" w:rsidRDefault="00442A85" w:rsidP="005465D5">
      <w:pPr>
        <w:spacing w:before="120" w:line="280" w:lineRule="atLeast"/>
        <w:jc w:val="both"/>
        <w:rPr>
          <w:sz w:val="20"/>
          <w:szCs w:val="28"/>
        </w:rPr>
      </w:pPr>
      <w:r w:rsidRPr="00C13B94">
        <w:rPr>
          <w:sz w:val="20"/>
          <w:szCs w:val="28"/>
        </w:rPr>
        <w:t>At the site’s western boundary, t</w:t>
      </w:r>
      <w:r w:rsidR="008A677B" w:rsidRPr="00C13B94">
        <w:rPr>
          <w:sz w:val="20"/>
          <w:szCs w:val="28"/>
        </w:rPr>
        <w:t xml:space="preserve">he DDO requires a </w:t>
      </w:r>
      <w:r w:rsidR="00330B50" w:rsidRPr="00C13B94">
        <w:rPr>
          <w:sz w:val="20"/>
          <w:szCs w:val="28"/>
        </w:rPr>
        <w:t xml:space="preserve">further </w:t>
      </w:r>
      <w:r w:rsidR="008A677B" w:rsidRPr="00C13B94">
        <w:rPr>
          <w:sz w:val="20"/>
          <w:szCs w:val="28"/>
        </w:rPr>
        <w:t xml:space="preserve">reduction in </w:t>
      </w:r>
      <w:r w:rsidRPr="00C13B94">
        <w:rPr>
          <w:sz w:val="20"/>
          <w:szCs w:val="28"/>
        </w:rPr>
        <w:t>maximum building height.</w:t>
      </w:r>
      <w:r w:rsidR="008A677B" w:rsidRPr="00C13B94">
        <w:rPr>
          <w:sz w:val="20"/>
          <w:szCs w:val="28"/>
        </w:rPr>
        <w:t xml:space="preserve"> The maximum height in this location is </w:t>
      </w:r>
      <w:r w:rsidR="00A40850" w:rsidRPr="00C13B94">
        <w:rPr>
          <w:sz w:val="20"/>
          <w:szCs w:val="28"/>
        </w:rPr>
        <w:t>7</w:t>
      </w:r>
      <w:r w:rsidR="008A677B" w:rsidRPr="00C13B94">
        <w:rPr>
          <w:sz w:val="20"/>
          <w:szCs w:val="28"/>
        </w:rPr>
        <w:t xml:space="preserve">m as depicted in Figure </w:t>
      </w:r>
      <w:r w:rsidR="00117E56" w:rsidRPr="00C13B94">
        <w:rPr>
          <w:sz w:val="20"/>
          <w:szCs w:val="28"/>
        </w:rPr>
        <w:t xml:space="preserve">8 and will occupy a frontage width of 6.5m. </w:t>
      </w:r>
      <w:r w:rsidR="008A677B" w:rsidRPr="00C13B94">
        <w:rPr>
          <w:sz w:val="20"/>
          <w:szCs w:val="28"/>
        </w:rPr>
        <w:t xml:space="preserve">This </w:t>
      </w:r>
      <w:r w:rsidR="00117E56" w:rsidRPr="00C13B94">
        <w:rPr>
          <w:sz w:val="20"/>
          <w:szCs w:val="28"/>
        </w:rPr>
        <w:t xml:space="preserve">reduction </w:t>
      </w:r>
      <w:r w:rsidR="00501982" w:rsidRPr="00C13B94">
        <w:rPr>
          <w:sz w:val="20"/>
          <w:szCs w:val="28"/>
        </w:rPr>
        <w:t xml:space="preserve">will </w:t>
      </w:r>
      <w:r w:rsidR="008A677B" w:rsidRPr="00C13B94">
        <w:rPr>
          <w:sz w:val="20"/>
          <w:szCs w:val="28"/>
        </w:rPr>
        <w:t xml:space="preserve">ensure an appropriate scale of built form and minimise visual prominence when viewed from the reserve to the west, and from greater distances from Macaulay Road. </w:t>
      </w:r>
    </w:p>
    <w:p w14:paraId="13AD07B2" w14:textId="77777777" w:rsidR="00501982" w:rsidRPr="00C13B94" w:rsidRDefault="00501982" w:rsidP="005465D5">
      <w:pPr>
        <w:spacing w:before="120" w:line="280" w:lineRule="atLeast"/>
        <w:jc w:val="both"/>
        <w:rPr>
          <w:sz w:val="20"/>
          <w:szCs w:val="28"/>
        </w:rPr>
      </w:pPr>
    </w:p>
    <w:p w14:paraId="4B0E4343" w14:textId="477726E7" w:rsidR="00117E56" w:rsidRPr="00C13B94" w:rsidRDefault="00117E56" w:rsidP="005465D5">
      <w:pPr>
        <w:spacing w:before="120" w:line="280" w:lineRule="atLeast"/>
        <w:jc w:val="both"/>
        <w:rPr>
          <w:sz w:val="20"/>
          <w:szCs w:val="28"/>
        </w:rPr>
      </w:pPr>
      <w:r w:rsidRPr="00C13B94">
        <w:rPr>
          <w:sz w:val="20"/>
          <w:szCs w:val="28"/>
        </w:rPr>
        <w:t>The</w:t>
      </w:r>
      <w:r w:rsidR="004A75E6" w:rsidRPr="00C13B94">
        <w:rPr>
          <w:sz w:val="20"/>
          <w:szCs w:val="28"/>
        </w:rPr>
        <w:t>se</w:t>
      </w:r>
      <w:r w:rsidRPr="00C13B94">
        <w:rPr>
          <w:sz w:val="20"/>
          <w:szCs w:val="28"/>
        </w:rPr>
        <w:t xml:space="preserve"> reductions in </w:t>
      </w:r>
      <w:r w:rsidR="00BA1AC9" w:rsidRPr="00C13B94">
        <w:rPr>
          <w:sz w:val="20"/>
          <w:szCs w:val="28"/>
        </w:rPr>
        <w:t>built form also</w:t>
      </w:r>
      <w:r w:rsidR="004A75E6" w:rsidRPr="00C13B94">
        <w:rPr>
          <w:sz w:val="20"/>
          <w:szCs w:val="28"/>
        </w:rPr>
        <w:t xml:space="preserve"> </w:t>
      </w:r>
      <w:r w:rsidRPr="00C13B94">
        <w:rPr>
          <w:sz w:val="20"/>
          <w:szCs w:val="28"/>
        </w:rPr>
        <w:t>ensure that there is an appropriate interface with</w:t>
      </w:r>
      <w:r w:rsidR="00501982" w:rsidRPr="00C13B94">
        <w:rPr>
          <w:sz w:val="20"/>
          <w:szCs w:val="28"/>
        </w:rPr>
        <w:t xml:space="preserve"> the DHHS buildings to the northern boundary</w:t>
      </w:r>
      <w:r w:rsidR="004A75E6" w:rsidRPr="00C13B94">
        <w:rPr>
          <w:sz w:val="20"/>
          <w:szCs w:val="28"/>
        </w:rPr>
        <w:t xml:space="preserve"> of the site</w:t>
      </w:r>
      <w:r w:rsidRPr="00C13B94">
        <w:rPr>
          <w:sz w:val="20"/>
          <w:szCs w:val="28"/>
        </w:rPr>
        <w:t xml:space="preserve">. </w:t>
      </w:r>
      <w:r w:rsidR="00442A85" w:rsidRPr="00C13B94">
        <w:rPr>
          <w:sz w:val="20"/>
          <w:szCs w:val="28"/>
        </w:rPr>
        <w:t xml:space="preserve">Ensuring that any future building </w:t>
      </w:r>
      <w:r w:rsidR="006D71CF" w:rsidRPr="00C13B94">
        <w:rPr>
          <w:sz w:val="20"/>
          <w:szCs w:val="28"/>
        </w:rPr>
        <w:t>avoids unreasonable visual bulk and allows</w:t>
      </w:r>
      <w:r w:rsidR="00442A85" w:rsidRPr="00C13B94">
        <w:rPr>
          <w:sz w:val="20"/>
          <w:szCs w:val="28"/>
        </w:rPr>
        <w:t xml:space="preserve"> for longer range outlook to the south and south west.</w:t>
      </w:r>
    </w:p>
    <w:p w14:paraId="3D628072" w14:textId="2596C9C3" w:rsidR="00CD4803" w:rsidRPr="00C13B94" w:rsidRDefault="00CD4803" w:rsidP="005465D5">
      <w:pPr>
        <w:spacing w:before="120" w:line="280" w:lineRule="atLeast"/>
        <w:jc w:val="both"/>
        <w:rPr>
          <w:sz w:val="20"/>
          <w:szCs w:val="28"/>
        </w:rPr>
      </w:pPr>
    </w:p>
    <w:p w14:paraId="4A0BAE84" w14:textId="34348E6B" w:rsidR="00F547D9" w:rsidRPr="00C13B94" w:rsidRDefault="00F547D9" w:rsidP="005465D5">
      <w:pPr>
        <w:spacing w:before="120" w:line="280" w:lineRule="atLeast"/>
        <w:jc w:val="both"/>
        <w:rPr>
          <w:sz w:val="20"/>
          <w:szCs w:val="28"/>
        </w:rPr>
      </w:pPr>
      <w:r w:rsidRPr="00C13B94">
        <w:rPr>
          <w:sz w:val="20"/>
          <w:szCs w:val="28"/>
        </w:rPr>
        <w:t xml:space="preserve">The </w:t>
      </w:r>
      <w:r w:rsidR="00BA1AC9" w:rsidRPr="00C13B94">
        <w:rPr>
          <w:sz w:val="20"/>
          <w:szCs w:val="28"/>
        </w:rPr>
        <w:t>widths</w:t>
      </w:r>
      <w:r w:rsidR="00793200" w:rsidRPr="00C13B94">
        <w:rPr>
          <w:sz w:val="20"/>
          <w:szCs w:val="28"/>
        </w:rPr>
        <w:t xml:space="preserve"> </w:t>
      </w:r>
      <w:r w:rsidR="00442A85" w:rsidRPr="00C13B94">
        <w:rPr>
          <w:sz w:val="20"/>
          <w:szCs w:val="28"/>
        </w:rPr>
        <w:t xml:space="preserve">of the </w:t>
      </w:r>
      <w:r w:rsidR="001C2FD5" w:rsidRPr="00C13B94">
        <w:rPr>
          <w:sz w:val="20"/>
          <w:szCs w:val="28"/>
        </w:rPr>
        <w:t>three</w:t>
      </w:r>
      <w:r w:rsidR="00442A85" w:rsidRPr="00C13B94">
        <w:rPr>
          <w:sz w:val="20"/>
          <w:szCs w:val="28"/>
        </w:rPr>
        <w:t xml:space="preserve"> distinct graduations in maximum building height </w:t>
      </w:r>
      <w:r w:rsidR="006D71CF" w:rsidRPr="00C13B94">
        <w:rPr>
          <w:sz w:val="20"/>
          <w:szCs w:val="28"/>
        </w:rPr>
        <w:t>within the DDO</w:t>
      </w:r>
      <w:r w:rsidR="00793200" w:rsidRPr="00C13B94">
        <w:rPr>
          <w:sz w:val="20"/>
          <w:szCs w:val="28"/>
        </w:rPr>
        <w:t xml:space="preserve"> </w:t>
      </w:r>
      <w:r w:rsidR="006D71CF" w:rsidRPr="00C13B94">
        <w:rPr>
          <w:sz w:val="20"/>
          <w:szCs w:val="28"/>
        </w:rPr>
        <w:t xml:space="preserve">reflect </w:t>
      </w:r>
      <w:r w:rsidR="00BA1AC9" w:rsidRPr="00C13B94">
        <w:rPr>
          <w:sz w:val="20"/>
          <w:szCs w:val="28"/>
        </w:rPr>
        <w:t>the pattern</w:t>
      </w:r>
      <w:r w:rsidR="00EF4B12" w:rsidRPr="00C13B94">
        <w:rPr>
          <w:sz w:val="20"/>
          <w:szCs w:val="28"/>
        </w:rPr>
        <w:t xml:space="preserve"> of variation in </w:t>
      </w:r>
      <w:r w:rsidR="006D71CF" w:rsidRPr="00C13B94">
        <w:rPr>
          <w:sz w:val="20"/>
          <w:szCs w:val="28"/>
        </w:rPr>
        <w:t>building</w:t>
      </w:r>
      <w:r w:rsidR="00EF4B12" w:rsidRPr="00C13B94">
        <w:rPr>
          <w:sz w:val="20"/>
          <w:szCs w:val="28"/>
        </w:rPr>
        <w:t xml:space="preserve"> width and height </w:t>
      </w:r>
      <w:r w:rsidR="006D71CF" w:rsidRPr="00C13B94">
        <w:rPr>
          <w:sz w:val="20"/>
          <w:szCs w:val="28"/>
        </w:rPr>
        <w:t xml:space="preserve">along Arden Street </w:t>
      </w:r>
      <w:r w:rsidR="00BA1AC9" w:rsidRPr="00C13B94">
        <w:rPr>
          <w:sz w:val="20"/>
          <w:szCs w:val="28"/>
        </w:rPr>
        <w:t xml:space="preserve">while also ensuring </w:t>
      </w:r>
      <w:r w:rsidRPr="00C13B94">
        <w:rPr>
          <w:sz w:val="20"/>
          <w:szCs w:val="28"/>
        </w:rPr>
        <w:t xml:space="preserve">that </w:t>
      </w:r>
      <w:r w:rsidR="006D71CF" w:rsidRPr="00C13B94">
        <w:rPr>
          <w:sz w:val="20"/>
          <w:szCs w:val="28"/>
        </w:rPr>
        <w:t xml:space="preserve">the future building </w:t>
      </w:r>
      <w:r w:rsidR="001C2FD5" w:rsidRPr="00C13B94">
        <w:rPr>
          <w:sz w:val="20"/>
          <w:szCs w:val="28"/>
        </w:rPr>
        <w:t>footprints are</w:t>
      </w:r>
      <w:r w:rsidR="00793200" w:rsidRPr="00C13B94">
        <w:rPr>
          <w:sz w:val="20"/>
          <w:szCs w:val="28"/>
        </w:rPr>
        <w:t xml:space="preserve"> </w:t>
      </w:r>
      <w:r w:rsidR="00BA1AC9" w:rsidRPr="00C13B94">
        <w:rPr>
          <w:sz w:val="20"/>
          <w:szCs w:val="28"/>
        </w:rPr>
        <w:t>sufficient to provide functional internal</w:t>
      </w:r>
      <w:r w:rsidRPr="00C13B94">
        <w:rPr>
          <w:sz w:val="20"/>
          <w:szCs w:val="28"/>
        </w:rPr>
        <w:t xml:space="preserve"> </w:t>
      </w:r>
      <w:r w:rsidR="00BA1AC9" w:rsidRPr="00C13B94">
        <w:rPr>
          <w:sz w:val="20"/>
          <w:szCs w:val="28"/>
        </w:rPr>
        <w:t>areas.</w:t>
      </w:r>
    </w:p>
    <w:p w14:paraId="637388D4" w14:textId="77777777" w:rsidR="00F547D9" w:rsidRPr="005465D5" w:rsidRDefault="00F547D9" w:rsidP="005465D5">
      <w:pPr>
        <w:spacing w:before="120" w:line="280" w:lineRule="atLeast"/>
        <w:jc w:val="both"/>
        <w:rPr>
          <w:sz w:val="20"/>
          <w:szCs w:val="28"/>
        </w:rPr>
      </w:pPr>
    </w:p>
    <w:p w14:paraId="3F8304DB" w14:textId="37B0B116" w:rsidR="005465D5" w:rsidRDefault="00104FAA" w:rsidP="005465D5">
      <w:pPr>
        <w:spacing w:before="120" w:line="280" w:lineRule="atLeast"/>
        <w:jc w:val="both"/>
        <w:rPr>
          <w:sz w:val="20"/>
          <w:szCs w:val="28"/>
        </w:rPr>
      </w:pPr>
      <w:r w:rsidRPr="00C13B94">
        <w:rPr>
          <w:sz w:val="20"/>
          <w:szCs w:val="28"/>
        </w:rPr>
        <w:t>This assessment of the stepped nature of the</w:t>
      </w:r>
      <w:r w:rsidR="00C6049F" w:rsidRPr="00C13B94">
        <w:rPr>
          <w:sz w:val="20"/>
          <w:szCs w:val="28"/>
        </w:rPr>
        <w:t xml:space="preserve"> built form has been completed as the basis of the </w:t>
      </w:r>
      <w:r w:rsidRPr="00C13B94">
        <w:rPr>
          <w:sz w:val="20"/>
          <w:szCs w:val="28"/>
        </w:rPr>
        <w:t xml:space="preserve">maximum provisions made through the </w:t>
      </w:r>
      <w:r w:rsidR="00C6049F" w:rsidRPr="00C13B94">
        <w:rPr>
          <w:sz w:val="20"/>
          <w:szCs w:val="28"/>
        </w:rPr>
        <w:t>DDO</w:t>
      </w:r>
      <w:r w:rsidR="00BA1AC9" w:rsidRPr="00C13B94">
        <w:rPr>
          <w:sz w:val="20"/>
          <w:szCs w:val="28"/>
        </w:rPr>
        <w:t xml:space="preserve"> </w:t>
      </w:r>
      <w:r w:rsidRPr="00C13B94">
        <w:rPr>
          <w:sz w:val="20"/>
          <w:szCs w:val="28"/>
        </w:rPr>
        <w:t xml:space="preserve">and </w:t>
      </w:r>
      <w:r w:rsidR="002238AB" w:rsidRPr="00C13B94">
        <w:rPr>
          <w:sz w:val="20"/>
          <w:szCs w:val="28"/>
        </w:rPr>
        <w:t>is</w:t>
      </w:r>
      <w:r w:rsidRPr="00C13B94">
        <w:rPr>
          <w:sz w:val="20"/>
          <w:szCs w:val="28"/>
        </w:rPr>
        <w:t xml:space="preserve"> an acceptable response in respect of the site’s context. </w:t>
      </w:r>
    </w:p>
    <w:p w14:paraId="10867AB4" w14:textId="77777777" w:rsidR="005465D5" w:rsidRDefault="005465D5">
      <w:pPr>
        <w:spacing w:line="259" w:lineRule="auto"/>
        <w:contextualSpacing w:val="0"/>
        <w:rPr>
          <w:sz w:val="20"/>
          <w:szCs w:val="28"/>
        </w:rPr>
      </w:pPr>
      <w:r>
        <w:rPr>
          <w:sz w:val="20"/>
          <w:szCs w:val="28"/>
        </w:rPr>
        <w:br w:type="page"/>
      </w:r>
    </w:p>
    <w:p w14:paraId="0AC3EE26" w14:textId="655D1888" w:rsidR="00A742FB" w:rsidRPr="008C6A3A" w:rsidRDefault="00A742FB">
      <w:pPr>
        <w:pStyle w:val="Heading2"/>
      </w:pPr>
      <w:bookmarkStart w:id="84" w:name="_Toc152146952"/>
      <w:r w:rsidRPr="008C6A3A">
        <w:lastRenderedPageBreak/>
        <w:t>Overshadowing</w:t>
      </w:r>
      <w:bookmarkEnd w:id="84"/>
    </w:p>
    <w:p w14:paraId="6EFCADB7" w14:textId="77777777" w:rsidR="00F0230E" w:rsidRDefault="00F0230E" w:rsidP="00B150D9">
      <w:pPr>
        <w:rPr>
          <w:b/>
          <w:bCs/>
          <w:sz w:val="20"/>
          <w:szCs w:val="28"/>
        </w:rPr>
      </w:pPr>
    </w:p>
    <w:p w14:paraId="2E1BB6BD" w14:textId="1F287AD3" w:rsidR="00B150D9" w:rsidRPr="00C13B94" w:rsidRDefault="00D17C87" w:rsidP="00B150D9">
      <w:pPr>
        <w:rPr>
          <w:b/>
          <w:bCs/>
          <w:sz w:val="20"/>
          <w:szCs w:val="28"/>
        </w:rPr>
      </w:pPr>
      <w:r w:rsidRPr="00C13B94">
        <w:rPr>
          <w:b/>
          <w:bCs/>
          <w:sz w:val="20"/>
          <w:szCs w:val="28"/>
        </w:rPr>
        <w:t>Built Form Outcome</w:t>
      </w:r>
    </w:p>
    <w:p w14:paraId="581525C6" w14:textId="0DB9B99D" w:rsidR="0069221C" w:rsidRPr="00C13B94" w:rsidRDefault="00C932DB" w:rsidP="005465D5">
      <w:pPr>
        <w:spacing w:before="120" w:line="280" w:lineRule="atLeast"/>
        <w:jc w:val="both"/>
        <w:rPr>
          <w:sz w:val="20"/>
          <w:szCs w:val="28"/>
        </w:rPr>
      </w:pPr>
      <w:r w:rsidRPr="00C13B94">
        <w:rPr>
          <w:sz w:val="20"/>
          <w:szCs w:val="28"/>
        </w:rPr>
        <w:t>Future</w:t>
      </w:r>
      <w:r w:rsidR="00391DB9" w:rsidRPr="00C13B94">
        <w:rPr>
          <w:sz w:val="20"/>
          <w:szCs w:val="28"/>
        </w:rPr>
        <w:t xml:space="preserve"> built-form outcomes </w:t>
      </w:r>
      <w:r w:rsidRPr="00C13B94">
        <w:rPr>
          <w:sz w:val="20"/>
          <w:szCs w:val="28"/>
        </w:rPr>
        <w:t xml:space="preserve">directed by the </w:t>
      </w:r>
      <w:r w:rsidR="00387D18" w:rsidRPr="00C13B94">
        <w:rPr>
          <w:sz w:val="20"/>
          <w:szCs w:val="28"/>
        </w:rPr>
        <w:t>DDO</w:t>
      </w:r>
      <w:r w:rsidRPr="00C13B94">
        <w:rPr>
          <w:sz w:val="20"/>
          <w:szCs w:val="28"/>
        </w:rPr>
        <w:t xml:space="preserve"> will avoid unreasonable shadow impacts.</w:t>
      </w:r>
      <w:r w:rsidR="00387D18" w:rsidRPr="00C13B94">
        <w:rPr>
          <w:sz w:val="20"/>
          <w:szCs w:val="28"/>
        </w:rPr>
        <w:t xml:space="preserve"> F</w:t>
      </w:r>
      <w:r w:rsidR="00F76634" w:rsidRPr="00C13B94">
        <w:rPr>
          <w:sz w:val="20"/>
          <w:szCs w:val="28"/>
        </w:rPr>
        <w:t xml:space="preserve">igure </w:t>
      </w:r>
      <w:r w:rsidR="004811B8" w:rsidRPr="00C13B94">
        <w:rPr>
          <w:sz w:val="20"/>
          <w:szCs w:val="28"/>
        </w:rPr>
        <w:t>9</w:t>
      </w:r>
      <w:r w:rsidR="00F76634" w:rsidRPr="00C13B94">
        <w:rPr>
          <w:sz w:val="20"/>
          <w:szCs w:val="28"/>
        </w:rPr>
        <w:t xml:space="preserve"> sets out </w:t>
      </w:r>
      <w:r w:rsidR="00186BF7" w:rsidRPr="00C13B94">
        <w:rPr>
          <w:sz w:val="20"/>
          <w:szCs w:val="28"/>
        </w:rPr>
        <w:t xml:space="preserve">the </w:t>
      </w:r>
      <w:r w:rsidR="00387D18" w:rsidRPr="00C13B94">
        <w:rPr>
          <w:sz w:val="20"/>
          <w:szCs w:val="28"/>
        </w:rPr>
        <w:t xml:space="preserve">expected </w:t>
      </w:r>
      <w:r w:rsidR="00F76634" w:rsidRPr="00C13B94">
        <w:rPr>
          <w:sz w:val="20"/>
          <w:szCs w:val="28"/>
        </w:rPr>
        <w:t xml:space="preserve">shadow </w:t>
      </w:r>
      <w:r w:rsidR="00387D18" w:rsidRPr="00C13B94">
        <w:rPr>
          <w:sz w:val="20"/>
          <w:szCs w:val="28"/>
        </w:rPr>
        <w:t xml:space="preserve">that results from the maximum built form envelope. </w:t>
      </w:r>
      <w:r w:rsidR="004811B8" w:rsidRPr="00C13B94">
        <w:rPr>
          <w:sz w:val="20"/>
          <w:szCs w:val="28"/>
        </w:rPr>
        <w:t xml:space="preserve">This </w:t>
      </w:r>
      <w:r w:rsidR="00387D18" w:rsidRPr="00C13B94">
        <w:rPr>
          <w:sz w:val="20"/>
          <w:szCs w:val="28"/>
        </w:rPr>
        <w:t xml:space="preserve">demonstrates </w:t>
      </w:r>
      <w:r w:rsidR="004811B8" w:rsidRPr="00C13B94">
        <w:rPr>
          <w:sz w:val="20"/>
          <w:szCs w:val="28"/>
        </w:rPr>
        <w:t xml:space="preserve">that shadows will: </w:t>
      </w:r>
      <w:r w:rsidR="0069221C" w:rsidRPr="00C13B94">
        <w:rPr>
          <w:sz w:val="20"/>
          <w:szCs w:val="28"/>
        </w:rPr>
        <w:t xml:space="preserve"> </w:t>
      </w:r>
    </w:p>
    <w:p w14:paraId="026030E9" w14:textId="1F08E315" w:rsidR="00904444" w:rsidRPr="00C13B94" w:rsidRDefault="00904444" w:rsidP="005465D5">
      <w:pPr>
        <w:pStyle w:val="ESNumberedBullet1"/>
        <w:spacing w:before="120" w:line="280" w:lineRule="atLeast"/>
        <w:rPr>
          <w:sz w:val="20"/>
          <w:szCs w:val="28"/>
        </w:rPr>
      </w:pPr>
      <w:r w:rsidRPr="00C13B94">
        <w:rPr>
          <w:sz w:val="20"/>
          <w:szCs w:val="28"/>
        </w:rPr>
        <w:t>Extend</w:t>
      </w:r>
      <w:r w:rsidR="004811B8" w:rsidRPr="00C13B94">
        <w:rPr>
          <w:sz w:val="20"/>
          <w:szCs w:val="28"/>
        </w:rPr>
        <w:t xml:space="preserve"> </w:t>
      </w:r>
      <w:r w:rsidRPr="00C13B94">
        <w:rPr>
          <w:sz w:val="20"/>
          <w:szCs w:val="28"/>
        </w:rPr>
        <w:t xml:space="preserve">over land to the south-west during morning hours. </w:t>
      </w:r>
      <w:r w:rsidR="00387D18" w:rsidRPr="00C13B94">
        <w:rPr>
          <w:sz w:val="20"/>
          <w:szCs w:val="28"/>
        </w:rPr>
        <w:t xml:space="preserve">Shadow over </w:t>
      </w:r>
      <w:r w:rsidRPr="00C13B94">
        <w:rPr>
          <w:sz w:val="20"/>
          <w:szCs w:val="28"/>
        </w:rPr>
        <w:t xml:space="preserve">Macaulay Road and Arden Street but does not extend to the Public Open Space further </w:t>
      </w:r>
      <w:r w:rsidR="00387D18" w:rsidRPr="00C13B94">
        <w:rPr>
          <w:sz w:val="20"/>
          <w:szCs w:val="28"/>
        </w:rPr>
        <w:t xml:space="preserve">to the </w:t>
      </w:r>
      <w:r w:rsidRPr="00C13B94">
        <w:rPr>
          <w:sz w:val="20"/>
          <w:szCs w:val="28"/>
        </w:rPr>
        <w:t>south-wes</w:t>
      </w:r>
      <w:r w:rsidR="00425D5E" w:rsidRPr="00C13B94">
        <w:rPr>
          <w:sz w:val="20"/>
          <w:szCs w:val="28"/>
        </w:rPr>
        <w:t>t</w:t>
      </w:r>
      <w:r w:rsidR="00387D18" w:rsidRPr="00C13B94">
        <w:rPr>
          <w:sz w:val="20"/>
          <w:szCs w:val="28"/>
        </w:rPr>
        <w:t xml:space="preserve">. It does not </w:t>
      </w:r>
      <w:r w:rsidR="00425D5E" w:rsidRPr="00C13B94">
        <w:rPr>
          <w:sz w:val="20"/>
          <w:szCs w:val="28"/>
        </w:rPr>
        <w:t xml:space="preserve">extend to the southern footpath along Arden Street. </w:t>
      </w:r>
    </w:p>
    <w:p w14:paraId="2FB4313F" w14:textId="77777777" w:rsidR="00387D18" w:rsidRPr="00C13B94" w:rsidRDefault="004811B8" w:rsidP="005465D5">
      <w:pPr>
        <w:pStyle w:val="ESNumberedBullet1"/>
        <w:spacing w:before="120" w:line="280" w:lineRule="atLeast"/>
        <w:rPr>
          <w:sz w:val="20"/>
          <w:szCs w:val="28"/>
        </w:rPr>
      </w:pPr>
      <w:r w:rsidRPr="00C13B94">
        <w:rPr>
          <w:sz w:val="20"/>
          <w:szCs w:val="28"/>
        </w:rPr>
        <w:t xml:space="preserve">Be partially cast </w:t>
      </w:r>
      <w:r w:rsidR="00904444" w:rsidRPr="00C13B94">
        <w:rPr>
          <w:sz w:val="20"/>
          <w:szCs w:val="28"/>
        </w:rPr>
        <w:t>over Arden Street during mid-day</w:t>
      </w:r>
      <w:r w:rsidR="00387D18" w:rsidRPr="00C13B94">
        <w:rPr>
          <w:sz w:val="20"/>
          <w:szCs w:val="28"/>
        </w:rPr>
        <w:t xml:space="preserve">, the northern footpath remains affected, but the southern footpath remains unaffected. </w:t>
      </w:r>
    </w:p>
    <w:p w14:paraId="1CEB101C" w14:textId="69B91FED" w:rsidR="00904444" w:rsidRPr="00C13B94" w:rsidRDefault="004811B8" w:rsidP="005465D5">
      <w:pPr>
        <w:pStyle w:val="ESNumberedBullet1"/>
        <w:spacing w:before="120" w:line="280" w:lineRule="atLeast"/>
        <w:rPr>
          <w:sz w:val="20"/>
          <w:szCs w:val="28"/>
        </w:rPr>
      </w:pPr>
      <w:r w:rsidRPr="00C13B94">
        <w:rPr>
          <w:sz w:val="20"/>
          <w:szCs w:val="28"/>
        </w:rPr>
        <w:t>N</w:t>
      </w:r>
      <w:r w:rsidR="00425D5E" w:rsidRPr="00C13B94">
        <w:rPr>
          <w:sz w:val="20"/>
          <w:szCs w:val="28"/>
        </w:rPr>
        <w:t xml:space="preserve">ot affect the buildings to </w:t>
      </w:r>
      <w:r w:rsidR="00AB72C5" w:rsidRPr="00C13B94">
        <w:rPr>
          <w:sz w:val="20"/>
          <w:szCs w:val="28"/>
        </w:rPr>
        <w:t xml:space="preserve">DHHS buildings to </w:t>
      </w:r>
      <w:r w:rsidR="00425D5E" w:rsidRPr="00C13B94">
        <w:rPr>
          <w:sz w:val="20"/>
          <w:szCs w:val="28"/>
        </w:rPr>
        <w:t xml:space="preserve">the </w:t>
      </w:r>
      <w:r w:rsidR="00AB72C5" w:rsidRPr="00C13B94">
        <w:rPr>
          <w:sz w:val="20"/>
          <w:szCs w:val="28"/>
        </w:rPr>
        <w:t xml:space="preserve">north. </w:t>
      </w:r>
      <w:r w:rsidR="00186BF7" w:rsidRPr="00C13B94">
        <w:rPr>
          <w:sz w:val="20"/>
          <w:szCs w:val="28"/>
        </w:rPr>
        <w:t xml:space="preserve">This is </w:t>
      </w:r>
      <w:r w:rsidR="00425D5E" w:rsidRPr="00C13B94">
        <w:rPr>
          <w:sz w:val="20"/>
          <w:szCs w:val="28"/>
        </w:rPr>
        <w:t>the most sensitive receptor in proximity to the site.</w:t>
      </w:r>
    </w:p>
    <w:p w14:paraId="1215C21C" w14:textId="77777777" w:rsidR="00C13B94" w:rsidRDefault="00C13B94" w:rsidP="00B150D9">
      <w:pPr>
        <w:pStyle w:val="ListBullet2"/>
        <w:numPr>
          <w:ilvl w:val="0"/>
          <w:numId w:val="0"/>
        </w:numPr>
        <w:jc w:val="both"/>
        <w:rPr>
          <w:b/>
          <w:bCs/>
          <w:sz w:val="20"/>
          <w:szCs w:val="28"/>
        </w:rPr>
      </w:pPr>
    </w:p>
    <w:p w14:paraId="7866C908" w14:textId="2308579C" w:rsidR="001A56A3" w:rsidRPr="00C13B94" w:rsidRDefault="00B150D9" w:rsidP="00B150D9">
      <w:pPr>
        <w:pStyle w:val="ListBullet2"/>
        <w:numPr>
          <w:ilvl w:val="0"/>
          <w:numId w:val="0"/>
        </w:numPr>
        <w:jc w:val="both"/>
        <w:rPr>
          <w:b/>
          <w:bCs/>
          <w:sz w:val="20"/>
          <w:szCs w:val="28"/>
        </w:rPr>
      </w:pPr>
      <w:r w:rsidRPr="00C13B94">
        <w:rPr>
          <w:b/>
          <w:bCs/>
          <w:sz w:val="20"/>
          <w:szCs w:val="28"/>
        </w:rPr>
        <w:t>Assessment</w:t>
      </w:r>
    </w:p>
    <w:p w14:paraId="544300C9" w14:textId="42B24E3D" w:rsidR="00391DB9" w:rsidRPr="00C13B94" w:rsidRDefault="00F76634" w:rsidP="005465D5">
      <w:pPr>
        <w:pStyle w:val="ESNumberedBullet1"/>
        <w:spacing w:before="120" w:line="280" w:lineRule="atLeast"/>
        <w:rPr>
          <w:sz w:val="20"/>
          <w:szCs w:val="28"/>
        </w:rPr>
      </w:pPr>
      <w:r w:rsidRPr="00C13B94">
        <w:rPr>
          <w:sz w:val="20"/>
          <w:szCs w:val="28"/>
        </w:rPr>
        <w:t xml:space="preserve">The building height as described by DDO84 will not </w:t>
      </w:r>
      <w:r w:rsidR="00AB72C5" w:rsidRPr="00C13B94">
        <w:rPr>
          <w:sz w:val="20"/>
          <w:szCs w:val="28"/>
        </w:rPr>
        <w:t>result in</w:t>
      </w:r>
      <w:r w:rsidRPr="00C13B94">
        <w:rPr>
          <w:sz w:val="20"/>
          <w:szCs w:val="28"/>
        </w:rPr>
        <w:t xml:space="preserve"> any overshadowing impacts to sensitive receptors</w:t>
      </w:r>
      <w:r w:rsidR="00AB72C5" w:rsidRPr="00C13B94">
        <w:rPr>
          <w:sz w:val="20"/>
          <w:szCs w:val="28"/>
        </w:rPr>
        <w:t xml:space="preserve">, this </w:t>
      </w:r>
      <w:r w:rsidR="00A76B16" w:rsidRPr="00C13B94">
        <w:rPr>
          <w:sz w:val="20"/>
          <w:szCs w:val="28"/>
        </w:rPr>
        <w:t xml:space="preserve">includes </w:t>
      </w:r>
      <w:r w:rsidRPr="00C13B94">
        <w:rPr>
          <w:sz w:val="20"/>
          <w:szCs w:val="28"/>
        </w:rPr>
        <w:t>the DHSS building to the north</w:t>
      </w:r>
      <w:r w:rsidR="00545819" w:rsidRPr="00C13B94">
        <w:rPr>
          <w:sz w:val="20"/>
          <w:szCs w:val="28"/>
        </w:rPr>
        <w:t>.</w:t>
      </w:r>
    </w:p>
    <w:p w14:paraId="496134A7" w14:textId="00BDCD72" w:rsidR="00425D5E" w:rsidRPr="00C13B94" w:rsidRDefault="00F76634" w:rsidP="005465D5">
      <w:pPr>
        <w:pStyle w:val="ESNumberedBullet1"/>
        <w:spacing w:before="120" w:line="280" w:lineRule="atLeast"/>
        <w:rPr>
          <w:sz w:val="20"/>
          <w:szCs w:val="28"/>
        </w:rPr>
      </w:pPr>
      <w:r w:rsidRPr="00C13B94">
        <w:rPr>
          <w:sz w:val="20"/>
          <w:szCs w:val="28"/>
        </w:rPr>
        <w:t xml:space="preserve">Shadow will only be cast </w:t>
      </w:r>
      <w:r w:rsidR="00AB72C5" w:rsidRPr="00C13B94">
        <w:rPr>
          <w:sz w:val="20"/>
          <w:szCs w:val="28"/>
        </w:rPr>
        <w:t>over</w:t>
      </w:r>
      <w:r w:rsidRPr="00C13B94">
        <w:rPr>
          <w:sz w:val="20"/>
          <w:szCs w:val="28"/>
        </w:rPr>
        <w:t xml:space="preserve"> the footpath</w:t>
      </w:r>
      <w:r w:rsidR="00425D5E" w:rsidRPr="00C13B94">
        <w:rPr>
          <w:sz w:val="20"/>
          <w:szCs w:val="28"/>
        </w:rPr>
        <w:t xml:space="preserve">s and roads serving Macaulay Road, Lothian </w:t>
      </w:r>
      <w:r w:rsidR="00B229E7" w:rsidRPr="00C13B94">
        <w:rPr>
          <w:sz w:val="20"/>
          <w:szCs w:val="28"/>
        </w:rPr>
        <w:t>Street,</w:t>
      </w:r>
      <w:r w:rsidR="00425D5E" w:rsidRPr="00C13B94">
        <w:rPr>
          <w:sz w:val="20"/>
          <w:szCs w:val="28"/>
        </w:rPr>
        <w:t xml:space="preserve"> and </w:t>
      </w:r>
      <w:r w:rsidRPr="00C13B94">
        <w:rPr>
          <w:sz w:val="20"/>
          <w:szCs w:val="28"/>
        </w:rPr>
        <w:t>the north</w:t>
      </w:r>
      <w:r w:rsidR="00AB72C5" w:rsidRPr="00C13B94">
        <w:rPr>
          <w:sz w:val="20"/>
          <w:szCs w:val="28"/>
        </w:rPr>
        <w:t xml:space="preserve">ern footpath of </w:t>
      </w:r>
      <w:r w:rsidRPr="00C13B94">
        <w:rPr>
          <w:sz w:val="20"/>
          <w:szCs w:val="28"/>
        </w:rPr>
        <w:t xml:space="preserve">Arden </w:t>
      </w:r>
      <w:r w:rsidR="00425D5E" w:rsidRPr="00C13B94">
        <w:rPr>
          <w:sz w:val="20"/>
          <w:szCs w:val="28"/>
        </w:rPr>
        <w:t xml:space="preserve">Street. The shadow cast to Macaulay Street and Lothian Street is an existing condition </w:t>
      </w:r>
      <w:r w:rsidR="00D77969" w:rsidRPr="00C13B94">
        <w:rPr>
          <w:sz w:val="20"/>
          <w:szCs w:val="28"/>
        </w:rPr>
        <w:t>that</w:t>
      </w:r>
      <w:r w:rsidR="00425D5E" w:rsidRPr="00C13B94">
        <w:rPr>
          <w:sz w:val="20"/>
          <w:szCs w:val="28"/>
        </w:rPr>
        <w:t xml:space="preserve"> is cast by the Melbourne Mills building. </w:t>
      </w:r>
    </w:p>
    <w:p w14:paraId="3513281A" w14:textId="5A347C7E" w:rsidR="00A76B16" w:rsidRPr="00C13B94" w:rsidRDefault="004811B8" w:rsidP="005465D5">
      <w:pPr>
        <w:pStyle w:val="ESNumberedBullet1"/>
        <w:spacing w:before="120" w:line="280" w:lineRule="atLeast"/>
        <w:rPr>
          <w:sz w:val="20"/>
          <w:szCs w:val="28"/>
        </w:rPr>
      </w:pPr>
      <w:r w:rsidRPr="00C13B94">
        <w:rPr>
          <w:sz w:val="20"/>
          <w:szCs w:val="28"/>
        </w:rPr>
        <w:t xml:space="preserve">There </w:t>
      </w:r>
      <w:r w:rsidR="00425D5E" w:rsidRPr="00C13B94">
        <w:rPr>
          <w:sz w:val="20"/>
          <w:szCs w:val="28"/>
        </w:rPr>
        <w:t xml:space="preserve">will </w:t>
      </w:r>
      <w:r w:rsidRPr="00C13B94">
        <w:rPr>
          <w:sz w:val="20"/>
          <w:szCs w:val="28"/>
        </w:rPr>
        <w:t xml:space="preserve">be </w:t>
      </w:r>
      <w:r w:rsidR="00425D5E" w:rsidRPr="00C13B94">
        <w:rPr>
          <w:sz w:val="20"/>
          <w:szCs w:val="28"/>
        </w:rPr>
        <w:t xml:space="preserve">no </w:t>
      </w:r>
      <w:r w:rsidRPr="00C13B94">
        <w:rPr>
          <w:sz w:val="20"/>
          <w:szCs w:val="28"/>
        </w:rPr>
        <w:t xml:space="preserve">impact </w:t>
      </w:r>
      <w:r w:rsidR="00D77969" w:rsidRPr="00C13B94">
        <w:rPr>
          <w:sz w:val="20"/>
          <w:szCs w:val="28"/>
        </w:rPr>
        <w:t xml:space="preserve">on </w:t>
      </w:r>
      <w:r w:rsidR="00425D5E" w:rsidRPr="00C13B94">
        <w:rPr>
          <w:sz w:val="20"/>
          <w:szCs w:val="28"/>
        </w:rPr>
        <w:t xml:space="preserve">any </w:t>
      </w:r>
      <w:r w:rsidR="00AB72C5" w:rsidRPr="00C13B94">
        <w:rPr>
          <w:sz w:val="20"/>
          <w:szCs w:val="28"/>
        </w:rPr>
        <w:t xml:space="preserve">Public Open </w:t>
      </w:r>
      <w:r w:rsidR="00A9354D" w:rsidRPr="00C13B94">
        <w:rPr>
          <w:sz w:val="20"/>
          <w:szCs w:val="28"/>
        </w:rPr>
        <w:t>Space north</w:t>
      </w:r>
      <w:r w:rsidR="00425D5E" w:rsidRPr="00C13B94">
        <w:rPr>
          <w:sz w:val="20"/>
          <w:szCs w:val="28"/>
        </w:rPr>
        <w:t xml:space="preserve">-west along Macaulay Road. </w:t>
      </w:r>
      <w:r w:rsidR="00F76634" w:rsidRPr="00C13B94">
        <w:rPr>
          <w:sz w:val="20"/>
          <w:szCs w:val="28"/>
        </w:rPr>
        <w:t xml:space="preserve">The shadows cast by the building will not affect the southern footpath to Arden </w:t>
      </w:r>
      <w:r w:rsidR="00425D5E" w:rsidRPr="00C13B94">
        <w:rPr>
          <w:sz w:val="20"/>
          <w:szCs w:val="28"/>
        </w:rPr>
        <w:t xml:space="preserve">Street, ensuring </w:t>
      </w:r>
      <w:r w:rsidR="00F76634" w:rsidRPr="00C13B94">
        <w:rPr>
          <w:sz w:val="20"/>
          <w:szCs w:val="28"/>
        </w:rPr>
        <w:t xml:space="preserve">the amenity of the public realm is protected. </w:t>
      </w:r>
    </w:p>
    <w:p w14:paraId="1CAF894E" w14:textId="16764E46" w:rsidR="00904444" w:rsidRPr="00C13B94" w:rsidRDefault="00F76634" w:rsidP="005465D5">
      <w:pPr>
        <w:pStyle w:val="ESNumberedBullet1"/>
        <w:spacing w:before="120" w:line="280" w:lineRule="atLeast"/>
        <w:rPr>
          <w:sz w:val="20"/>
          <w:szCs w:val="28"/>
        </w:rPr>
      </w:pPr>
      <w:r w:rsidRPr="00C13B94">
        <w:rPr>
          <w:sz w:val="20"/>
          <w:szCs w:val="28"/>
        </w:rPr>
        <w:t xml:space="preserve">While it has been demonstrated that the proposal will have no significant overshadowing impacts, </w:t>
      </w:r>
      <w:r w:rsidR="00AB72C5" w:rsidRPr="00C13B94">
        <w:rPr>
          <w:sz w:val="20"/>
          <w:szCs w:val="28"/>
        </w:rPr>
        <w:t>the Responsible Authority</w:t>
      </w:r>
      <w:r w:rsidRPr="00C13B94">
        <w:rPr>
          <w:sz w:val="20"/>
          <w:szCs w:val="28"/>
        </w:rPr>
        <w:t xml:space="preserve"> has the discretion to request </w:t>
      </w:r>
      <w:r w:rsidR="00AB72C5" w:rsidRPr="00C13B94">
        <w:rPr>
          <w:sz w:val="20"/>
          <w:szCs w:val="28"/>
        </w:rPr>
        <w:t xml:space="preserve">a technical, hour-by-hour Shadow Impact Assessment </w:t>
      </w:r>
      <w:r w:rsidRPr="00C13B94">
        <w:rPr>
          <w:sz w:val="20"/>
          <w:szCs w:val="28"/>
        </w:rPr>
        <w:t>at permit stage</w:t>
      </w:r>
      <w:r w:rsidR="00545819" w:rsidRPr="00C13B94">
        <w:rPr>
          <w:sz w:val="20"/>
          <w:szCs w:val="28"/>
        </w:rPr>
        <w:t xml:space="preserve">. </w:t>
      </w:r>
      <w:r w:rsidR="00612EF5">
        <w:rPr>
          <w:sz w:val="20"/>
          <w:szCs w:val="2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499"/>
      </w:tblGrid>
      <w:tr w:rsidR="00A76B16" w:rsidRPr="00A76B16" w14:paraId="653953BC" w14:textId="77777777" w:rsidTr="008C6A3A">
        <w:trPr>
          <w:trHeight w:val="2998"/>
        </w:trPr>
        <w:tc>
          <w:tcPr>
            <w:tcW w:w="4679" w:type="dxa"/>
          </w:tcPr>
          <w:p w14:paraId="06BD18EB" w14:textId="77777777" w:rsidR="00A76B16" w:rsidRPr="008C6A3A" w:rsidRDefault="00A76B16" w:rsidP="008C6A3A">
            <w:pPr>
              <w:pStyle w:val="ListBullet2"/>
              <w:numPr>
                <w:ilvl w:val="0"/>
                <w:numId w:val="0"/>
              </w:numPr>
              <w:ind w:left="284" w:hanging="284"/>
              <w:rPr>
                <w:sz w:val="14"/>
                <w:szCs w:val="14"/>
              </w:rPr>
            </w:pPr>
            <w:r w:rsidRPr="008C6A3A">
              <w:rPr>
                <w:noProof/>
                <w:sz w:val="14"/>
                <w:szCs w:val="14"/>
              </w:rPr>
              <w:drawing>
                <wp:inline distT="0" distB="0" distL="0" distR="0" wp14:anchorId="773408F3" wp14:editId="218C7BB6">
                  <wp:extent cx="2651979" cy="2176145"/>
                  <wp:effectExtent l="0" t="0" r="0" b="0"/>
                  <wp:docPr id="30" name="Picture 30" descr="The new built form will overshadow areas of the Arden Street/Macaulay Street intersection at 9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he new built form will overshadow areas of the Arden Street/Macaulay Street intersection at 9am."/>
                          <pic:cNvPicPr/>
                        </pic:nvPicPr>
                        <pic:blipFill>
                          <a:blip r:embed="rId31"/>
                          <a:stretch>
                            <a:fillRect/>
                          </a:stretch>
                        </pic:blipFill>
                        <pic:spPr>
                          <a:xfrm>
                            <a:off x="0" y="0"/>
                            <a:ext cx="2664425" cy="2186358"/>
                          </a:xfrm>
                          <a:prstGeom prst="rect">
                            <a:avLst/>
                          </a:prstGeom>
                        </pic:spPr>
                      </pic:pic>
                    </a:graphicData>
                  </a:graphic>
                </wp:inline>
              </w:drawing>
            </w:r>
          </w:p>
        </w:tc>
        <w:tc>
          <w:tcPr>
            <w:tcW w:w="4498" w:type="dxa"/>
          </w:tcPr>
          <w:p w14:paraId="1F71A0FA" w14:textId="55C9806C" w:rsidR="00A76B16" w:rsidRPr="00A76B16" w:rsidRDefault="00A76B16" w:rsidP="00636AD8">
            <w:pPr>
              <w:pStyle w:val="ListBullet2"/>
              <w:numPr>
                <w:ilvl w:val="0"/>
                <w:numId w:val="0"/>
              </w:numPr>
              <w:ind w:left="284" w:hanging="284"/>
              <w:rPr>
                <w:szCs w:val="17"/>
              </w:rPr>
            </w:pPr>
            <w:r w:rsidRPr="00A76B16">
              <w:rPr>
                <w:noProof/>
                <w:szCs w:val="17"/>
              </w:rPr>
              <w:drawing>
                <wp:inline distT="0" distB="0" distL="0" distR="0" wp14:anchorId="4774F9C3" wp14:editId="2223CBAC">
                  <wp:extent cx="2700670" cy="2176567"/>
                  <wp:effectExtent l="0" t="0" r="4445" b="0"/>
                  <wp:docPr id="31" name="Picture 31" descr="The new built form will result in overshadowing to Arden Street and sections of the footpath of Macaulay Road at 12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he new built form will result in overshadowing to Arden Street and sections of the footpath of Macaulay Road at 12pm."/>
                          <pic:cNvPicPr/>
                        </pic:nvPicPr>
                        <pic:blipFill>
                          <a:blip r:embed="rId32"/>
                          <a:stretch>
                            <a:fillRect/>
                          </a:stretch>
                        </pic:blipFill>
                        <pic:spPr>
                          <a:xfrm>
                            <a:off x="0" y="0"/>
                            <a:ext cx="2709705" cy="2183848"/>
                          </a:xfrm>
                          <a:prstGeom prst="rect">
                            <a:avLst/>
                          </a:prstGeom>
                        </pic:spPr>
                      </pic:pic>
                    </a:graphicData>
                  </a:graphic>
                </wp:inline>
              </w:drawing>
            </w:r>
          </w:p>
        </w:tc>
      </w:tr>
      <w:tr w:rsidR="00A76B16" w:rsidRPr="00A76B16" w14:paraId="7E8A88A1" w14:textId="77777777" w:rsidTr="008C6A3A">
        <w:trPr>
          <w:trHeight w:val="263"/>
        </w:trPr>
        <w:tc>
          <w:tcPr>
            <w:tcW w:w="4679" w:type="dxa"/>
          </w:tcPr>
          <w:p w14:paraId="634E46FC" w14:textId="77777777" w:rsidR="00A76B16" w:rsidRPr="008C6A3A" w:rsidRDefault="00A76B16" w:rsidP="008C6A3A">
            <w:pPr>
              <w:pStyle w:val="ListBullet2"/>
              <w:numPr>
                <w:ilvl w:val="0"/>
                <w:numId w:val="0"/>
              </w:numPr>
              <w:ind w:left="284" w:hanging="284"/>
              <w:rPr>
                <w:sz w:val="14"/>
                <w:szCs w:val="14"/>
              </w:rPr>
            </w:pPr>
            <w:r w:rsidRPr="008C6A3A">
              <w:rPr>
                <w:i/>
                <w:iCs/>
                <w:sz w:val="14"/>
                <w:szCs w:val="14"/>
              </w:rPr>
              <w:t>Shadow Diagram of Illustrative Massing: 9:00am</w:t>
            </w:r>
          </w:p>
        </w:tc>
        <w:tc>
          <w:tcPr>
            <w:tcW w:w="4498" w:type="dxa"/>
          </w:tcPr>
          <w:p w14:paraId="4D061CC5" w14:textId="77777777" w:rsidR="00A76B16" w:rsidRPr="008C6A3A" w:rsidRDefault="00A76B16" w:rsidP="008C6A3A">
            <w:pPr>
              <w:pStyle w:val="ListBullet2"/>
              <w:numPr>
                <w:ilvl w:val="0"/>
                <w:numId w:val="0"/>
              </w:numPr>
              <w:ind w:left="284" w:hanging="284"/>
              <w:rPr>
                <w:b/>
                <w:bCs/>
                <w:sz w:val="14"/>
                <w:szCs w:val="14"/>
              </w:rPr>
            </w:pPr>
            <w:r w:rsidRPr="008C6A3A">
              <w:rPr>
                <w:i/>
                <w:iCs/>
                <w:sz w:val="14"/>
                <w:szCs w:val="14"/>
              </w:rPr>
              <w:t>Shadow Diagram of Illustrative Massing: 12:00pm</w:t>
            </w:r>
          </w:p>
        </w:tc>
      </w:tr>
      <w:tr w:rsidR="00A76B16" w:rsidRPr="00A76B16" w14:paraId="587E7D00" w14:textId="77777777" w:rsidTr="008C6A3A">
        <w:trPr>
          <w:trHeight w:val="3006"/>
        </w:trPr>
        <w:tc>
          <w:tcPr>
            <w:tcW w:w="9178" w:type="dxa"/>
            <w:gridSpan w:val="2"/>
          </w:tcPr>
          <w:p w14:paraId="3FD3C8D2" w14:textId="77777777" w:rsidR="00A76B16" w:rsidRPr="008C6A3A" w:rsidRDefault="00A76B16" w:rsidP="008C6A3A">
            <w:pPr>
              <w:pStyle w:val="ListBullet2"/>
              <w:numPr>
                <w:ilvl w:val="0"/>
                <w:numId w:val="0"/>
              </w:numPr>
              <w:ind w:left="284"/>
              <w:jc w:val="center"/>
              <w:rPr>
                <w:i/>
                <w:iCs/>
                <w:sz w:val="14"/>
                <w:szCs w:val="14"/>
              </w:rPr>
            </w:pPr>
            <w:r w:rsidRPr="008C6A3A">
              <w:rPr>
                <w:noProof/>
                <w:sz w:val="14"/>
                <w:szCs w:val="14"/>
              </w:rPr>
              <w:lastRenderedPageBreak/>
              <w:drawing>
                <wp:anchor distT="0" distB="0" distL="114300" distR="114300" simplePos="0" relativeHeight="251660288" behindDoc="0" locked="0" layoutInCell="1" allowOverlap="1" wp14:anchorId="7893AFAD" wp14:editId="57C2127A">
                  <wp:simplePos x="0" y="0"/>
                  <wp:positionH relativeFrom="column">
                    <wp:posOffset>1403350</wp:posOffset>
                  </wp:positionH>
                  <wp:positionV relativeFrom="paragraph">
                    <wp:posOffset>46990</wp:posOffset>
                  </wp:positionV>
                  <wp:extent cx="2615565" cy="1895475"/>
                  <wp:effectExtent l="0" t="0" r="0" b="9525"/>
                  <wp:wrapSquare wrapText="bothSides"/>
                  <wp:docPr id="42" name="Picture 42" descr="The new built form will cause overshadowing to Arden Street at 3p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he new built form will cause overshadowing to Arden Street at 3pm. "/>
                          <pic:cNvPicPr/>
                        </pic:nvPicPr>
                        <pic:blipFill>
                          <a:blip r:embed="rId33">
                            <a:extLst>
                              <a:ext uri="{28A0092B-C50C-407E-A947-70E740481C1C}">
                                <a14:useLocalDpi xmlns:a14="http://schemas.microsoft.com/office/drawing/2010/main" val="0"/>
                              </a:ext>
                            </a:extLst>
                          </a:blip>
                          <a:stretch>
                            <a:fillRect/>
                          </a:stretch>
                        </pic:blipFill>
                        <pic:spPr>
                          <a:xfrm>
                            <a:off x="0" y="0"/>
                            <a:ext cx="2615565" cy="1895475"/>
                          </a:xfrm>
                          <a:prstGeom prst="rect">
                            <a:avLst/>
                          </a:prstGeom>
                        </pic:spPr>
                      </pic:pic>
                    </a:graphicData>
                  </a:graphic>
                  <wp14:sizeRelH relativeFrom="page">
                    <wp14:pctWidth>0</wp14:pctWidth>
                  </wp14:sizeRelH>
                  <wp14:sizeRelV relativeFrom="page">
                    <wp14:pctHeight>0</wp14:pctHeight>
                  </wp14:sizeRelV>
                </wp:anchor>
              </w:drawing>
            </w:r>
          </w:p>
          <w:p w14:paraId="0CACFEE2" w14:textId="77777777" w:rsidR="004811B8" w:rsidRDefault="004811B8" w:rsidP="004811B8">
            <w:pPr>
              <w:pStyle w:val="ListBullet2"/>
              <w:numPr>
                <w:ilvl w:val="0"/>
                <w:numId w:val="0"/>
              </w:numPr>
              <w:ind w:left="284"/>
              <w:jc w:val="center"/>
              <w:rPr>
                <w:i/>
                <w:iCs/>
                <w:sz w:val="14"/>
                <w:szCs w:val="14"/>
              </w:rPr>
            </w:pPr>
          </w:p>
          <w:p w14:paraId="391C4E4E" w14:textId="77777777" w:rsidR="004811B8" w:rsidRDefault="004811B8" w:rsidP="004811B8">
            <w:pPr>
              <w:pStyle w:val="ListBullet2"/>
              <w:numPr>
                <w:ilvl w:val="0"/>
                <w:numId w:val="0"/>
              </w:numPr>
              <w:ind w:left="284"/>
              <w:jc w:val="center"/>
              <w:rPr>
                <w:i/>
                <w:iCs/>
                <w:sz w:val="14"/>
                <w:szCs w:val="14"/>
              </w:rPr>
            </w:pPr>
          </w:p>
          <w:p w14:paraId="0286125A" w14:textId="77777777" w:rsidR="004811B8" w:rsidRDefault="004811B8" w:rsidP="004811B8">
            <w:pPr>
              <w:pStyle w:val="ListBullet2"/>
              <w:numPr>
                <w:ilvl w:val="0"/>
                <w:numId w:val="0"/>
              </w:numPr>
              <w:ind w:left="284"/>
              <w:jc w:val="center"/>
              <w:rPr>
                <w:i/>
                <w:iCs/>
                <w:sz w:val="14"/>
                <w:szCs w:val="14"/>
              </w:rPr>
            </w:pPr>
          </w:p>
          <w:p w14:paraId="39C3CCFD" w14:textId="77777777" w:rsidR="004811B8" w:rsidRDefault="004811B8" w:rsidP="004811B8">
            <w:pPr>
              <w:pStyle w:val="ListBullet2"/>
              <w:numPr>
                <w:ilvl w:val="0"/>
                <w:numId w:val="0"/>
              </w:numPr>
              <w:ind w:left="284"/>
              <w:jc w:val="center"/>
              <w:rPr>
                <w:i/>
                <w:iCs/>
                <w:sz w:val="14"/>
                <w:szCs w:val="14"/>
              </w:rPr>
            </w:pPr>
          </w:p>
          <w:p w14:paraId="33E418BB" w14:textId="77777777" w:rsidR="004811B8" w:rsidRDefault="004811B8" w:rsidP="004811B8">
            <w:pPr>
              <w:pStyle w:val="ListBullet2"/>
              <w:numPr>
                <w:ilvl w:val="0"/>
                <w:numId w:val="0"/>
              </w:numPr>
              <w:ind w:left="284"/>
              <w:jc w:val="center"/>
              <w:rPr>
                <w:i/>
                <w:iCs/>
                <w:sz w:val="14"/>
                <w:szCs w:val="14"/>
              </w:rPr>
            </w:pPr>
          </w:p>
          <w:p w14:paraId="12490282" w14:textId="77777777" w:rsidR="004811B8" w:rsidRDefault="004811B8" w:rsidP="004811B8">
            <w:pPr>
              <w:pStyle w:val="ListBullet2"/>
              <w:numPr>
                <w:ilvl w:val="0"/>
                <w:numId w:val="0"/>
              </w:numPr>
              <w:ind w:left="284"/>
              <w:jc w:val="center"/>
              <w:rPr>
                <w:i/>
                <w:iCs/>
                <w:sz w:val="14"/>
                <w:szCs w:val="14"/>
              </w:rPr>
            </w:pPr>
          </w:p>
          <w:p w14:paraId="7B4860C5" w14:textId="77777777" w:rsidR="004811B8" w:rsidRDefault="004811B8" w:rsidP="004811B8">
            <w:pPr>
              <w:pStyle w:val="ListBullet2"/>
              <w:numPr>
                <w:ilvl w:val="0"/>
                <w:numId w:val="0"/>
              </w:numPr>
              <w:ind w:left="284"/>
              <w:jc w:val="center"/>
              <w:rPr>
                <w:i/>
                <w:iCs/>
                <w:sz w:val="14"/>
                <w:szCs w:val="14"/>
              </w:rPr>
            </w:pPr>
          </w:p>
          <w:p w14:paraId="207631B3" w14:textId="77777777" w:rsidR="004811B8" w:rsidRDefault="004811B8" w:rsidP="004811B8">
            <w:pPr>
              <w:pStyle w:val="ListBullet2"/>
              <w:numPr>
                <w:ilvl w:val="0"/>
                <w:numId w:val="0"/>
              </w:numPr>
              <w:ind w:left="284"/>
              <w:jc w:val="center"/>
              <w:rPr>
                <w:i/>
                <w:iCs/>
                <w:sz w:val="14"/>
                <w:szCs w:val="14"/>
              </w:rPr>
            </w:pPr>
          </w:p>
          <w:p w14:paraId="277B4974" w14:textId="77777777" w:rsidR="004811B8" w:rsidRDefault="004811B8" w:rsidP="004811B8">
            <w:pPr>
              <w:pStyle w:val="ListBullet2"/>
              <w:numPr>
                <w:ilvl w:val="0"/>
                <w:numId w:val="0"/>
              </w:numPr>
              <w:ind w:left="284"/>
              <w:jc w:val="center"/>
              <w:rPr>
                <w:i/>
                <w:iCs/>
                <w:sz w:val="14"/>
                <w:szCs w:val="14"/>
              </w:rPr>
            </w:pPr>
          </w:p>
          <w:p w14:paraId="47823A9B" w14:textId="77777777" w:rsidR="004811B8" w:rsidRDefault="004811B8" w:rsidP="004811B8">
            <w:pPr>
              <w:pStyle w:val="ListBullet2"/>
              <w:numPr>
                <w:ilvl w:val="0"/>
                <w:numId w:val="0"/>
              </w:numPr>
              <w:ind w:left="284"/>
              <w:jc w:val="center"/>
              <w:rPr>
                <w:i/>
                <w:iCs/>
                <w:sz w:val="14"/>
                <w:szCs w:val="14"/>
              </w:rPr>
            </w:pPr>
          </w:p>
          <w:p w14:paraId="619EF854" w14:textId="77777777" w:rsidR="004811B8" w:rsidRDefault="004811B8" w:rsidP="004811B8">
            <w:pPr>
              <w:pStyle w:val="ListBullet2"/>
              <w:numPr>
                <w:ilvl w:val="0"/>
                <w:numId w:val="0"/>
              </w:numPr>
              <w:ind w:left="284"/>
              <w:jc w:val="center"/>
              <w:rPr>
                <w:i/>
                <w:iCs/>
                <w:sz w:val="14"/>
                <w:szCs w:val="14"/>
              </w:rPr>
            </w:pPr>
          </w:p>
          <w:p w14:paraId="440E5425" w14:textId="77777777" w:rsidR="004811B8" w:rsidRDefault="004811B8" w:rsidP="004811B8">
            <w:pPr>
              <w:pStyle w:val="ListBullet2"/>
              <w:numPr>
                <w:ilvl w:val="0"/>
                <w:numId w:val="0"/>
              </w:numPr>
              <w:ind w:left="284"/>
              <w:jc w:val="center"/>
              <w:rPr>
                <w:i/>
                <w:iCs/>
                <w:sz w:val="14"/>
                <w:szCs w:val="14"/>
              </w:rPr>
            </w:pPr>
          </w:p>
          <w:p w14:paraId="13F27BA7" w14:textId="3BBC3F1D" w:rsidR="00A76B16" w:rsidRPr="008C6A3A" w:rsidRDefault="00A76B16" w:rsidP="008C6A3A">
            <w:pPr>
              <w:pStyle w:val="ListBullet2"/>
              <w:numPr>
                <w:ilvl w:val="0"/>
                <w:numId w:val="0"/>
              </w:numPr>
              <w:jc w:val="center"/>
              <w:rPr>
                <w:sz w:val="14"/>
                <w:szCs w:val="14"/>
              </w:rPr>
            </w:pPr>
            <w:r w:rsidRPr="008C6A3A">
              <w:rPr>
                <w:i/>
                <w:iCs/>
                <w:sz w:val="14"/>
                <w:szCs w:val="14"/>
              </w:rPr>
              <w:t>Shadow Diagram of Illustrative Massing: 3:00pm</w:t>
            </w:r>
          </w:p>
        </w:tc>
      </w:tr>
    </w:tbl>
    <w:p w14:paraId="078E3FD8" w14:textId="17A3B94A" w:rsidR="00A76B16" w:rsidRDefault="00A76B16" w:rsidP="008E3DE7">
      <w:pPr>
        <w:pStyle w:val="Caption"/>
        <w:jc w:val="both"/>
      </w:pPr>
      <w:bookmarkStart w:id="85" w:name="_Toc149851769"/>
      <w:r w:rsidRPr="008E3DE7">
        <w:t xml:space="preserve">Figure </w:t>
      </w:r>
      <w:fldSimple w:instr=" SEQ Figure \* ARABIC ">
        <w:r w:rsidR="007F66EC">
          <w:rPr>
            <w:noProof/>
          </w:rPr>
          <w:t>9</w:t>
        </w:r>
      </w:fldSimple>
      <w:r w:rsidRPr="008E3DE7">
        <w:tab/>
        <w:t>Overshadowing Study</w:t>
      </w:r>
      <w:bookmarkEnd w:id="85"/>
      <w:r w:rsidRPr="008E3DE7">
        <w:t xml:space="preserve"> </w:t>
      </w:r>
      <w:r w:rsidR="00387D18">
        <w:t xml:space="preserve"> </w:t>
      </w:r>
    </w:p>
    <w:p w14:paraId="26098F40" w14:textId="122B4041" w:rsidR="00415C63" w:rsidRDefault="00415C63" w:rsidP="008C6A3A">
      <w:pPr>
        <w:pStyle w:val="Heading2"/>
      </w:pPr>
      <w:bookmarkStart w:id="86" w:name="_Toc152146953"/>
      <w:r w:rsidRPr="008C6A3A">
        <w:t>Further Considerations</w:t>
      </w:r>
      <w:bookmarkEnd w:id="86"/>
    </w:p>
    <w:p w14:paraId="6AF439ED" w14:textId="77777777" w:rsidR="008F0961" w:rsidRDefault="008F0961"/>
    <w:p w14:paraId="77801821" w14:textId="3FB39888" w:rsidR="00415C63" w:rsidRPr="00C13B94" w:rsidRDefault="008F0961">
      <w:pPr>
        <w:rPr>
          <w:b/>
          <w:bCs/>
          <w:sz w:val="20"/>
          <w:szCs w:val="28"/>
        </w:rPr>
      </w:pPr>
      <w:r w:rsidRPr="00C13B94">
        <w:rPr>
          <w:b/>
          <w:bCs/>
          <w:sz w:val="20"/>
          <w:szCs w:val="28"/>
        </w:rPr>
        <w:t>Architectural</w:t>
      </w:r>
      <w:r w:rsidR="00415C63" w:rsidRPr="00C13B94">
        <w:rPr>
          <w:b/>
          <w:bCs/>
          <w:sz w:val="20"/>
          <w:szCs w:val="28"/>
        </w:rPr>
        <w:t xml:space="preserve"> </w:t>
      </w:r>
      <w:r w:rsidRPr="00C13B94">
        <w:rPr>
          <w:b/>
          <w:bCs/>
          <w:sz w:val="20"/>
          <w:szCs w:val="28"/>
        </w:rPr>
        <w:t>Expression</w:t>
      </w:r>
    </w:p>
    <w:p w14:paraId="50519DC2" w14:textId="168DFC8F" w:rsidR="006476A2" w:rsidRPr="00C13B94" w:rsidRDefault="008F0961" w:rsidP="005465D5">
      <w:pPr>
        <w:pStyle w:val="ESNumberedBullet1"/>
        <w:spacing w:before="120" w:line="280" w:lineRule="atLeast"/>
        <w:rPr>
          <w:sz w:val="20"/>
          <w:szCs w:val="28"/>
        </w:rPr>
      </w:pPr>
      <w:r w:rsidRPr="00C13B94">
        <w:rPr>
          <w:sz w:val="20"/>
          <w:szCs w:val="28"/>
        </w:rPr>
        <w:t xml:space="preserve">At this stage, </w:t>
      </w:r>
      <w:r w:rsidR="0069221C" w:rsidRPr="00C13B94">
        <w:rPr>
          <w:sz w:val="20"/>
          <w:szCs w:val="28"/>
        </w:rPr>
        <w:t>assumptions</w:t>
      </w:r>
      <w:r w:rsidRPr="00C13B94">
        <w:rPr>
          <w:sz w:val="20"/>
          <w:szCs w:val="28"/>
        </w:rPr>
        <w:t xml:space="preserve"> on the architectural expression </w:t>
      </w:r>
      <w:r w:rsidR="0069221C" w:rsidRPr="00C13B94">
        <w:rPr>
          <w:sz w:val="20"/>
          <w:szCs w:val="28"/>
        </w:rPr>
        <w:t>of future</w:t>
      </w:r>
      <w:r w:rsidR="00A76B16" w:rsidRPr="00C13B94">
        <w:rPr>
          <w:sz w:val="20"/>
          <w:szCs w:val="28"/>
        </w:rPr>
        <w:t xml:space="preserve"> proposal</w:t>
      </w:r>
      <w:r w:rsidR="0069221C" w:rsidRPr="00C13B94">
        <w:rPr>
          <w:sz w:val="20"/>
          <w:szCs w:val="28"/>
        </w:rPr>
        <w:t>s</w:t>
      </w:r>
      <w:r w:rsidR="00A76B16" w:rsidRPr="00C13B94">
        <w:rPr>
          <w:sz w:val="20"/>
          <w:szCs w:val="28"/>
        </w:rPr>
        <w:t xml:space="preserve"> at the site</w:t>
      </w:r>
      <w:r w:rsidR="0069221C" w:rsidRPr="00C13B94">
        <w:rPr>
          <w:sz w:val="20"/>
          <w:szCs w:val="28"/>
        </w:rPr>
        <w:t xml:space="preserve"> can</w:t>
      </w:r>
      <w:r w:rsidR="006476A2" w:rsidRPr="00C13B94">
        <w:rPr>
          <w:sz w:val="20"/>
          <w:szCs w:val="28"/>
        </w:rPr>
        <w:t xml:space="preserve">not </w:t>
      </w:r>
      <w:r w:rsidR="0069221C" w:rsidRPr="00C13B94">
        <w:rPr>
          <w:sz w:val="20"/>
          <w:szCs w:val="28"/>
        </w:rPr>
        <w:t>be made</w:t>
      </w:r>
      <w:r w:rsidR="00A76B16" w:rsidRPr="00C13B94">
        <w:rPr>
          <w:sz w:val="20"/>
          <w:szCs w:val="28"/>
        </w:rPr>
        <w:t>.</w:t>
      </w:r>
      <w:r w:rsidR="006476A2" w:rsidRPr="00C13B94">
        <w:rPr>
          <w:sz w:val="20"/>
          <w:szCs w:val="28"/>
        </w:rPr>
        <w:t xml:space="preserve"> </w:t>
      </w:r>
      <w:r w:rsidR="00A76B16" w:rsidRPr="00C13B94">
        <w:rPr>
          <w:sz w:val="20"/>
          <w:szCs w:val="28"/>
        </w:rPr>
        <w:t>Notwithstanding, t</w:t>
      </w:r>
      <w:r w:rsidRPr="00C13B94">
        <w:rPr>
          <w:sz w:val="20"/>
          <w:szCs w:val="28"/>
        </w:rPr>
        <w:t xml:space="preserve">he DDO provides appropriate controls to ensure that </w:t>
      </w:r>
      <w:r w:rsidR="00A76B16" w:rsidRPr="00C13B94">
        <w:rPr>
          <w:sz w:val="20"/>
          <w:szCs w:val="28"/>
        </w:rPr>
        <w:t xml:space="preserve">future </w:t>
      </w:r>
      <w:r w:rsidRPr="00C13B94">
        <w:rPr>
          <w:sz w:val="20"/>
          <w:szCs w:val="28"/>
        </w:rPr>
        <w:t>proposals demonstrate that they appropriate</w:t>
      </w:r>
      <w:r w:rsidR="00A76B16" w:rsidRPr="00C13B94">
        <w:rPr>
          <w:sz w:val="20"/>
          <w:szCs w:val="28"/>
        </w:rPr>
        <w:t xml:space="preserve">ly </w:t>
      </w:r>
      <w:r w:rsidRPr="00C13B94">
        <w:rPr>
          <w:sz w:val="20"/>
          <w:szCs w:val="28"/>
        </w:rPr>
        <w:t>respon</w:t>
      </w:r>
      <w:r w:rsidR="00A76B16" w:rsidRPr="00C13B94">
        <w:rPr>
          <w:sz w:val="20"/>
          <w:szCs w:val="28"/>
        </w:rPr>
        <w:t xml:space="preserve">d </w:t>
      </w:r>
      <w:r w:rsidRPr="00C13B94">
        <w:rPr>
          <w:sz w:val="20"/>
          <w:szCs w:val="28"/>
        </w:rPr>
        <w:t xml:space="preserve">to the site and surrounding context. </w:t>
      </w:r>
      <w:r w:rsidR="008E3DE7" w:rsidRPr="00C13B94">
        <w:rPr>
          <w:sz w:val="20"/>
          <w:szCs w:val="28"/>
        </w:rPr>
        <w:t xml:space="preserve"> </w:t>
      </w:r>
      <w:r w:rsidR="006476A2" w:rsidRPr="00C13B94">
        <w:rPr>
          <w:sz w:val="20"/>
          <w:szCs w:val="28"/>
        </w:rPr>
        <w:t xml:space="preserve"> </w:t>
      </w:r>
    </w:p>
    <w:p w14:paraId="020EA61F" w14:textId="6D54E202" w:rsidR="001C605E" w:rsidRDefault="008F0961" w:rsidP="005465D5">
      <w:pPr>
        <w:pStyle w:val="ESNumberedBullet1"/>
        <w:spacing w:before="120" w:line="280" w:lineRule="atLeast"/>
        <w:rPr>
          <w:i/>
          <w:iCs/>
        </w:rPr>
      </w:pPr>
      <w:r w:rsidRPr="00C13B94">
        <w:rPr>
          <w:sz w:val="20"/>
          <w:szCs w:val="28"/>
        </w:rPr>
        <w:t xml:space="preserve">The DDO </w:t>
      </w:r>
      <w:r w:rsidR="00A76B16" w:rsidRPr="00C13B94">
        <w:rPr>
          <w:sz w:val="20"/>
          <w:szCs w:val="28"/>
        </w:rPr>
        <w:t xml:space="preserve">requires </w:t>
      </w:r>
      <w:r w:rsidRPr="00C13B94">
        <w:rPr>
          <w:sz w:val="20"/>
          <w:szCs w:val="28"/>
        </w:rPr>
        <w:t xml:space="preserve">that an </w:t>
      </w:r>
      <w:r w:rsidR="0069221C" w:rsidRPr="00C13B94">
        <w:rPr>
          <w:sz w:val="20"/>
          <w:szCs w:val="28"/>
        </w:rPr>
        <w:t>U</w:t>
      </w:r>
      <w:r w:rsidRPr="00C13B94">
        <w:rPr>
          <w:sz w:val="20"/>
          <w:szCs w:val="28"/>
        </w:rPr>
        <w:t xml:space="preserve">rban </w:t>
      </w:r>
      <w:r w:rsidR="0069221C" w:rsidRPr="00C13B94">
        <w:rPr>
          <w:sz w:val="20"/>
          <w:szCs w:val="28"/>
        </w:rPr>
        <w:t>D</w:t>
      </w:r>
      <w:r w:rsidRPr="00C13B94">
        <w:rPr>
          <w:sz w:val="20"/>
          <w:szCs w:val="28"/>
        </w:rPr>
        <w:t xml:space="preserve">esign </w:t>
      </w:r>
      <w:r w:rsidR="0069221C" w:rsidRPr="00C13B94">
        <w:rPr>
          <w:sz w:val="20"/>
          <w:szCs w:val="28"/>
        </w:rPr>
        <w:t>A</w:t>
      </w:r>
      <w:r w:rsidRPr="00C13B94">
        <w:rPr>
          <w:sz w:val="20"/>
          <w:szCs w:val="28"/>
        </w:rPr>
        <w:t>ssessment</w:t>
      </w:r>
      <w:r w:rsidR="001C605E" w:rsidRPr="00C13B94">
        <w:rPr>
          <w:sz w:val="20"/>
          <w:szCs w:val="28"/>
        </w:rPr>
        <w:t xml:space="preserve"> is undertaken at permit stage for any </w:t>
      </w:r>
      <w:r w:rsidRPr="00C13B94">
        <w:rPr>
          <w:sz w:val="20"/>
          <w:szCs w:val="28"/>
        </w:rPr>
        <w:t>future proposals</w:t>
      </w:r>
      <w:r w:rsidR="004F519A" w:rsidRPr="00C13B94">
        <w:rPr>
          <w:sz w:val="20"/>
          <w:szCs w:val="28"/>
        </w:rPr>
        <w:t xml:space="preserve">, which will demonstrate </w:t>
      </w:r>
      <w:r w:rsidR="001C605E" w:rsidRPr="00C13B94">
        <w:rPr>
          <w:sz w:val="20"/>
          <w:szCs w:val="28"/>
        </w:rPr>
        <w:t>how each of the Design Objectives and Built Form Outcomes of th</w:t>
      </w:r>
      <w:r w:rsidR="004F519A" w:rsidRPr="00C13B94">
        <w:rPr>
          <w:sz w:val="20"/>
          <w:szCs w:val="28"/>
        </w:rPr>
        <w:t xml:space="preserve">e DDO Schedule are achieved. </w:t>
      </w:r>
      <w:r w:rsidR="001C605E">
        <w:rPr>
          <w:i/>
          <w:iCs/>
        </w:rPr>
        <w:br w:type="page"/>
      </w:r>
    </w:p>
    <w:p w14:paraId="753C045E" w14:textId="28D59A29" w:rsidR="00440C9E" w:rsidRPr="00A9354D" w:rsidRDefault="00440C9E" w:rsidP="008C6A3A">
      <w:pPr>
        <w:pStyle w:val="Heading1"/>
      </w:pPr>
      <w:bookmarkStart w:id="87" w:name="_Toc152146954"/>
      <w:r w:rsidRPr="00A9354D">
        <w:lastRenderedPageBreak/>
        <w:t>Strategic Planning Considerations</w:t>
      </w:r>
      <w:bookmarkEnd w:id="87"/>
    </w:p>
    <w:p w14:paraId="1A806D95" w14:textId="77777777" w:rsidR="00440C9E" w:rsidRPr="00FA015D" w:rsidRDefault="00440C9E" w:rsidP="00440C9E">
      <w:pPr>
        <w:pStyle w:val="Heading2"/>
      </w:pPr>
      <w:bookmarkStart w:id="88" w:name="_Toc103201869"/>
      <w:bookmarkStart w:id="89" w:name="_Toc152146955"/>
      <w:r w:rsidRPr="00FA015D">
        <w:t>Why is an Amendment Required?</w:t>
      </w:r>
      <w:bookmarkEnd w:id="88"/>
      <w:bookmarkEnd w:id="89"/>
    </w:p>
    <w:p w14:paraId="7B62F09D" w14:textId="7C486433" w:rsidR="006476A2" w:rsidRPr="00C13B94" w:rsidRDefault="006476A2" w:rsidP="00612EF5">
      <w:pPr>
        <w:spacing w:before="120" w:line="280" w:lineRule="atLeast"/>
        <w:jc w:val="both"/>
        <w:rPr>
          <w:sz w:val="20"/>
          <w:szCs w:val="28"/>
        </w:rPr>
      </w:pPr>
      <w:bookmarkStart w:id="90" w:name="_Hlk121829751"/>
      <w:r w:rsidRPr="00C13B94">
        <w:rPr>
          <w:sz w:val="20"/>
          <w:szCs w:val="28"/>
        </w:rPr>
        <w:t xml:space="preserve">The amendment proposes to change the zoning controls identified in the City of Melbourne Planning Scheme.  The current zoning for the site, the General Residential Zone – Schedule 1 (GRZ1), does not reflect the long-established and current use of the site for offices that are owned and occupied by the ETU.   </w:t>
      </w:r>
    </w:p>
    <w:p w14:paraId="2E382F31" w14:textId="77777777" w:rsidR="006476A2" w:rsidRPr="00C13B94" w:rsidRDefault="006476A2" w:rsidP="00612EF5">
      <w:pPr>
        <w:spacing w:before="120" w:line="280" w:lineRule="atLeast"/>
        <w:jc w:val="both"/>
        <w:rPr>
          <w:sz w:val="20"/>
          <w:szCs w:val="28"/>
        </w:rPr>
      </w:pPr>
    </w:p>
    <w:p w14:paraId="1DB5A4BC" w14:textId="5940C9FE" w:rsidR="006476A2" w:rsidRPr="00C13B94" w:rsidRDefault="006476A2" w:rsidP="00612EF5">
      <w:pPr>
        <w:spacing w:before="120" w:line="280" w:lineRule="atLeast"/>
        <w:jc w:val="both"/>
        <w:rPr>
          <w:sz w:val="20"/>
          <w:szCs w:val="28"/>
        </w:rPr>
      </w:pPr>
      <w:r w:rsidRPr="00C13B94">
        <w:rPr>
          <w:sz w:val="20"/>
          <w:szCs w:val="28"/>
        </w:rPr>
        <w:t>The ETU intend to continue using the site as its administrative offices and training facilities, however, will require an increased building floor area to accommodate the increased need for training facilities at the subject site. The proposed amendments would</w:t>
      </w:r>
      <w:r w:rsidR="00AB60F1" w:rsidRPr="00C13B94">
        <w:rPr>
          <w:sz w:val="20"/>
          <w:szCs w:val="28"/>
        </w:rPr>
        <w:t xml:space="preserve"> amend</w:t>
      </w:r>
      <w:r w:rsidRPr="00C13B94">
        <w:rPr>
          <w:sz w:val="20"/>
          <w:szCs w:val="28"/>
        </w:rPr>
        <w:t xml:space="preserve"> the planning controls at the subject site to better reflect the existing uses and character of this area of North Melbourne. </w:t>
      </w:r>
    </w:p>
    <w:p w14:paraId="444F533F" w14:textId="77777777" w:rsidR="006476A2" w:rsidRPr="00C13B94" w:rsidRDefault="006476A2" w:rsidP="00612EF5">
      <w:pPr>
        <w:spacing w:before="120" w:line="280" w:lineRule="atLeast"/>
        <w:jc w:val="both"/>
        <w:rPr>
          <w:sz w:val="20"/>
          <w:szCs w:val="28"/>
        </w:rPr>
      </w:pPr>
    </w:p>
    <w:p w14:paraId="5C7D70C6" w14:textId="5A55FEEE" w:rsidR="006476A2" w:rsidRPr="00C13B94" w:rsidRDefault="006476A2" w:rsidP="00612EF5">
      <w:pPr>
        <w:spacing w:before="120" w:line="280" w:lineRule="atLeast"/>
        <w:jc w:val="both"/>
        <w:rPr>
          <w:sz w:val="20"/>
          <w:szCs w:val="28"/>
        </w:rPr>
      </w:pPr>
      <w:r w:rsidRPr="00C13B94">
        <w:rPr>
          <w:sz w:val="20"/>
          <w:szCs w:val="28"/>
        </w:rPr>
        <w:t xml:space="preserve">This amendment is required to facilitate the continued use of the site by the ETU and support its capacity to provide various services and facilities that achieve a net-community benefit for the wider area.  </w:t>
      </w:r>
    </w:p>
    <w:p w14:paraId="3021CC40" w14:textId="77777777" w:rsidR="00AB60F1" w:rsidRPr="00C13B94" w:rsidRDefault="00AB60F1" w:rsidP="00612EF5">
      <w:pPr>
        <w:spacing w:before="120" w:line="280" w:lineRule="atLeast"/>
        <w:jc w:val="both"/>
        <w:rPr>
          <w:sz w:val="20"/>
          <w:szCs w:val="28"/>
        </w:rPr>
      </w:pPr>
    </w:p>
    <w:p w14:paraId="7538BAAE" w14:textId="08E44C88" w:rsidR="00440C9E" w:rsidRPr="00C13B94" w:rsidRDefault="006476A2" w:rsidP="00612EF5">
      <w:pPr>
        <w:spacing w:before="120" w:line="280" w:lineRule="atLeast"/>
        <w:jc w:val="both"/>
        <w:rPr>
          <w:sz w:val="20"/>
          <w:szCs w:val="28"/>
        </w:rPr>
      </w:pPr>
      <w:r w:rsidRPr="00C13B94">
        <w:rPr>
          <w:sz w:val="20"/>
          <w:szCs w:val="28"/>
        </w:rPr>
        <w:t>This will also ensure zone controls reflect the existing use and provide the landowner with an improved certainty of the potential development outcomes that can occur at the subject site.</w:t>
      </w:r>
    </w:p>
    <w:p w14:paraId="172BF9C4" w14:textId="532B895D" w:rsidR="006476A2" w:rsidRDefault="00440C9E" w:rsidP="00CB20BB">
      <w:pPr>
        <w:pStyle w:val="Heading2"/>
      </w:pPr>
      <w:bookmarkStart w:id="91" w:name="_Toc103201870"/>
      <w:bookmarkStart w:id="92" w:name="_Toc152146956"/>
      <w:bookmarkEnd w:id="90"/>
      <w:r w:rsidRPr="00FA015D">
        <w:t>Does the Amendment Implement the Objectives of Planning and Address Any Environmental, Social and Economic Effects?</w:t>
      </w:r>
      <w:bookmarkStart w:id="93" w:name="_Toc103201871"/>
      <w:bookmarkEnd w:id="91"/>
      <w:bookmarkEnd w:id="92"/>
    </w:p>
    <w:p w14:paraId="44AE811C" w14:textId="4A5F5CC7" w:rsidR="00C64873" w:rsidRPr="00C13B94" w:rsidRDefault="00C64873" w:rsidP="00612EF5">
      <w:pPr>
        <w:spacing w:before="120" w:line="280" w:lineRule="atLeast"/>
        <w:jc w:val="both"/>
        <w:rPr>
          <w:sz w:val="20"/>
          <w:szCs w:val="28"/>
        </w:rPr>
      </w:pPr>
      <w:r w:rsidRPr="00C13B94">
        <w:rPr>
          <w:sz w:val="20"/>
          <w:szCs w:val="28"/>
        </w:rPr>
        <w:t>The proposed amendment ensures that zone controls are correctly applied to land so that it can be used and developed in accordance with the City of Melbourne Planning Scheme</w:t>
      </w:r>
      <w:r w:rsidR="00CB20BB" w:rsidRPr="00C13B94">
        <w:rPr>
          <w:sz w:val="20"/>
          <w:szCs w:val="28"/>
        </w:rPr>
        <w:t>.</w:t>
      </w:r>
      <w:r w:rsidR="006476A2" w:rsidRPr="00C13B94">
        <w:rPr>
          <w:sz w:val="20"/>
          <w:szCs w:val="28"/>
        </w:rPr>
        <w:t xml:space="preserve"> </w:t>
      </w:r>
      <w:r w:rsidRPr="00C13B94">
        <w:rPr>
          <w:sz w:val="20"/>
          <w:szCs w:val="28"/>
        </w:rPr>
        <w:t xml:space="preserve">The proposed amendment is administrative in nature and </w:t>
      </w:r>
      <w:r w:rsidR="00F43C98" w:rsidRPr="00C13B94">
        <w:rPr>
          <w:sz w:val="20"/>
          <w:szCs w:val="28"/>
        </w:rPr>
        <w:t>seeks to ensure the zoning accurately reflects the land use</w:t>
      </w:r>
      <w:r w:rsidRPr="00C13B94">
        <w:rPr>
          <w:sz w:val="20"/>
          <w:szCs w:val="28"/>
        </w:rPr>
        <w:t xml:space="preserve">. The amendment will not result in any adverse environmental, </w:t>
      </w:r>
      <w:r w:rsidR="00B229E7" w:rsidRPr="00C13B94">
        <w:rPr>
          <w:sz w:val="20"/>
          <w:szCs w:val="28"/>
        </w:rPr>
        <w:t>social,</w:t>
      </w:r>
      <w:r w:rsidRPr="00C13B94">
        <w:rPr>
          <w:sz w:val="20"/>
          <w:szCs w:val="28"/>
        </w:rPr>
        <w:t xml:space="preserve"> or economic effects.</w:t>
      </w:r>
    </w:p>
    <w:p w14:paraId="4566E27B" w14:textId="5B0DDADE" w:rsidR="00440C9E" w:rsidRPr="00A9354D" w:rsidRDefault="00440C9E" w:rsidP="004153E2">
      <w:pPr>
        <w:pStyle w:val="Heading2"/>
      </w:pPr>
      <w:bookmarkStart w:id="94" w:name="_Toc152146957"/>
      <w:r w:rsidRPr="00A9354D">
        <w:t>Does the Amendment Address Relevant Bushfire Risk?</w:t>
      </w:r>
      <w:bookmarkStart w:id="95" w:name="_Toc103201872"/>
      <w:bookmarkEnd w:id="93"/>
      <w:bookmarkEnd w:id="94"/>
    </w:p>
    <w:p w14:paraId="043ECA66" w14:textId="77777777" w:rsidR="00FA015D" w:rsidRPr="00C13B94" w:rsidRDefault="006476A2" w:rsidP="00612EF5">
      <w:pPr>
        <w:spacing w:before="120" w:line="280" w:lineRule="atLeast"/>
        <w:jc w:val="both"/>
        <w:rPr>
          <w:sz w:val="20"/>
          <w:szCs w:val="28"/>
        </w:rPr>
      </w:pPr>
      <w:bookmarkStart w:id="96" w:name="_Hlk121911945"/>
      <w:r w:rsidRPr="00C13B94">
        <w:rPr>
          <w:sz w:val="20"/>
          <w:szCs w:val="28"/>
        </w:rPr>
        <w:t>The subject site is not located within a designated bushfire prone area pursuant to Department of Transport and Planning (DTP) mapping. The proposal will not increase bushfire risk or place people or property in danger.</w:t>
      </w:r>
    </w:p>
    <w:p w14:paraId="2D92A08A" w14:textId="7D440615" w:rsidR="00440C9E" w:rsidRPr="00A9354D" w:rsidRDefault="006476A2" w:rsidP="00FA015D">
      <w:pPr>
        <w:pStyle w:val="Heading2"/>
      </w:pPr>
      <w:r w:rsidRPr="006476A2">
        <w:t xml:space="preserve"> </w:t>
      </w:r>
      <w:bookmarkStart w:id="97" w:name="_Hlk121911977"/>
      <w:bookmarkStart w:id="98" w:name="_Toc152146958"/>
      <w:bookmarkEnd w:id="96"/>
      <w:r w:rsidR="00440C9E" w:rsidRPr="00A9354D">
        <w:t>Does the Amendment Comply with All Relevant Minister’s Directions</w:t>
      </w:r>
      <w:bookmarkEnd w:id="97"/>
      <w:r w:rsidR="00440C9E" w:rsidRPr="00A9354D">
        <w:t>?</w:t>
      </w:r>
      <w:bookmarkEnd w:id="95"/>
      <w:bookmarkEnd w:id="98"/>
    </w:p>
    <w:p w14:paraId="6D25972F" w14:textId="14CFF9F7" w:rsidR="00440C9E" w:rsidRPr="00C13B94" w:rsidRDefault="00440C9E" w:rsidP="00612EF5">
      <w:pPr>
        <w:spacing w:before="120" w:line="280" w:lineRule="atLeast"/>
        <w:jc w:val="both"/>
        <w:rPr>
          <w:sz w:val="20"/>
          <w:szCs w:val="28"/>
        </w:rPr>
      </w:pPr>
      <w:bookmarkStart w:id="99" w:name="_Hlk121829820"/>
      <w:r w:rsidRPr="00C13B94">
        <w:rPr>
          <w:sz w:val="20"/>
          <w:szCs w:val="28"/>
        </w:rPr>
        <w:t xml:space="preserve">The proposal complies with all of the relevant Minister’s Directions, please see Section 6.0 </w:t>
      </w:r>
      <w:r w:rsidR="00CB20BB" w:rsidRPr="00C13B94">
        <w:rPr>
          <w:sz w:val="20"/>
          <w:szCs w:val="28"/>
        </w:rPr>
        <w:t>below</w:t>
      </w:r>
      <w:r w:rsidRPr="00C13B94">
        <w:rPr>
          <w:sz w:val="20"/>
          <w:szCs w:val="28"/>
        </w:rPr>
        <w:t xml:space="preserve">. </w:t>
      </w:r>
    </w:p>
    <w:p w14:paraId="07929D06" w14:textId="66100BC9" w:rsidR="00440C9E" w:rsidRPr="00FA015D" w:rsidRDefault="00440C9E" w:rsidP="00440C9E">
      <w:pPr>
        <w:pStyle w:val="Heading2"/>
      </w:pPr>
      <w:bookmarkStart w:id="100" w:name="_Toc103201873"/>
      <w:bookmarkStart w:id="101" w:name="_Toc152146959"/>
      <w:bookmarkEnd w:id="99"/>
      <w:r w:rsidRPr="00FA015D">
        <w:t>Support or Implement the Planning Policy Framework?</w:t>
      </w:r>
      <w:bookmarkEnd w:id="100"/>
      <w:bookmarkEnd w:id="101"/>
    </w:p>
    <w:p w14:paraId="674933C8" w14:textId="08366B7C" w:rsidR="006476A2" w:rsidRPr="00612EF5" w:rsidRDefault="006476A2" w:rsidP="00612EF5">
      <w:pPr>
        <w:spacing w:before="120" w:line="280" w:lineRule="atLeast"/>
        <w:jc w:val="both"/>
        <w:rPr>
          <w:sz w:val="20"/>
          <w:szCs w:val="28"/>
        </w:rPr>
      </w:pPr>
      <w:bookmarkStart w:id="102" w:name="_Hlk122362394"/>
      <w:r w:rsidRPr="00612EF5">
        <w:rPr>
          <w:sz w:val="20"/>
          <w:szCs w:val="28"/>
        </w:rPr>
        <w:t xml:space="preserve">The amendment proposes to rezone the site and apply built form controls seeks to amend and does not make any changes to the existing MSS or PPF and is consistent with the objectives of the PPF. </w:t>
      </w:r>
    </w:p>
    <w:p w14:paraId="3F53939F" w14:textId="77777777" w:rsidR="00AB60F1" w:rsidRPr="00612EF5" w:rsidRDefault="00AB60F1" w:rsidP="00612EF5">
      <w:pPr>
        <w:spacing w:before="120" w:line="280" w:lineRule="atLeast"/>
        <w:jc w:val="both"/>
        <w:rPr>
          <w:sz w:val="20"/>
          <w:szCs w:val="28"/>
        </w:rPr>
      </w:pPr>
    </w:p>
    <w:p w14:paraId="7E545DEA" w14:textId="77777777" w:rsidR="006476A2" w:rsidRPr="00612EF5" w:rsidRDefault="006476A2" w:rsidP="00612EF5">
      <w:pPr>
        <w:spacing w:before="120" w:line="280" w:lineRule="atLeast"/>
        <w:jc w:val="both"/>
        <w:rPr>
          <w:sz w:val="20"/>
          <w:szCs w:val="28"/>
        </w:rPr>
      </w:pPr>
      <w:r w:rsidRPr="00612EF5">
        <w:rPr>
          <w:sz w:val="20"/>
          <w:szCs w:val="28"/>
        </w:rPr>
        <w:t xml:space="preserve">The PPF provides the strategic framework for land use and development. The policies outlined below enable planning at a state and regional level and guide the formulation of local policies to implement good planning outcomes. </w:t>
      </w:r>
    </w:p>
    <w:p w14:paraId="5CD96FB1" w14:textId="77777777" w:rsidR="00C13B94" w:rsidRPr="00612EF5" w:rsidRDefault="00C13B94" w:rsidP="00612EF5">
      <w:pPr>
        <w:spacing w:before="120" w:line="280" w:lineRule="atLeast"/>
        <w:jc w:val="both"/>
        <w:rPr>
          <w:sz w:val="20"/>
          <w:szCs w:val="28"/>
        </w:rPr>
      </w:pPr>
    </w:p>
    <w:p w14:paraId="05A3C72F" w14:textId="77777777" w:rsidR="006476A2" w:rsidRPr="00612EF5" w:rsidRDefault="006476A2" w:rsidP="00612EF5">
      <w:pPr>
        <w:spacing w:before="120" w:line="280" w:lineRule="atLeast"/>
        <w:jc w:val="both"/>
        <w:rPr>
          <w:sz w:val="20"/>
          <w:szCs w:val="28"/>
        </w:rPr>
      </w:pPr>
      <w:r w:rsidRPr="00612EF5">
        <w:rPr>
          <w:sz w:val="20"/>
          <w:szCs w:val="28"/>
        </w:rPr>
        <w:t xml:space="preserve">The amendment supports the following objectives of Clause 11 (Settlement), Clause 15 (Built Environment and Heritage), Clause 17 (Economic Development) and Clause 18 (Transport) in the Planning Policy Framework: </w:t>
      </w:r>
    </w:p>
    <w:p w14:paraId="78DDB96D" w14:textId="1010B01A" w:rsidR="006476A2" w:rsidRPr="00C13B94" w:rsidRDefault="006476A2" w:rsidP="00612EF5">
      <w:pPr>
        <w:pStyle w:val="ESNumberedBullet1"/>
        <w:spacing w:before="120" w:line="280" w:lineRule="atLeast"/>
        <w:rPr>
          <w:sz w:val="20"/>
          <w:szCs w:val="28"/>
        </w:rPr>
      </w:pPr>
      <w:r w:rsidRPr="00C13B94">
        <w:rPr>
          <w:sz w:val="20"/>
          <w:szCs w:val="28"/>
        </w:rPr>
        <w:lastRenderedPageBreak/>
        <w:t>Clause 11.01-1S (Settlement) seeks to promote the sustainable growth and development of Victoria and deliver choice and opportunity for all Victorians through a network of settlements by enabling appropriate growth at the site, in line with the aspirations for the wider Arden Precinct.</w:t>
      </w:r>
    </w:p>
    <w:p w14:paraId="71148F79" w14:textId="6CD81807" w:rsidR="006476A2" w:rsidRPr="00C13B94" w:rsidRDefault="006476A2" w:rsidP="00612EF5">
      <w:pPr>
        <w:pStyle w:val="ESNumberedBullet1"/>
        <w:spacing w:before="120" w:line="280" w:lineRule="atLeast"/>
        <w:rPr>
          <w:sz w:val="20"/>
          <w:szCs w:val="28"/>
        </w:rPr>
      </w:pPr>
      <w:r w:rsidRPr="00C13B94">
        <w:rPr>
          <w:sz w:val="20"/>
          <w:szCs w:val="28"/>
        </w:rPr>
        <w:t xml:space="preserve">Clause 11.02-1S (Supply of urban land) ensures a sufficient supply of land is available for residential, commercial, retail, industrial, recreational, </w:t>
      </w:r>
      <w:r w:rsidR="00B229E7" w:rsidRPr="00C13B94">
        <w:rPr>
          <w:sz w:val="20"/>
          <w:szCs w:val="28"/>
        </w:rPr>
        <w:t>institutional,</w:t>
      </w:r>
      <w:r w:rsidRPr="00C13B94">
        <w:rPr>
          <w:sz w:val="20"/>
          <w:szCs w:val="28"/>
        </w:rPr>
        <w:t xml:space="preserve"> and other community uses. This amendment will ensure that the site can continue to be operated and used by the ETU and will give certainty for future development outcomes which will bring significant community benefit. </w:t>
      </w:r>
    </w:p>
    <w:p w14:paraId="1B51B711" w14:textId="2EFA9645" w:rsidR="006476A2" w:rsidRPr="00C13B94" w:rsidRDefault="006476A2" w:rsidP="00612EF5">
      <w:pPr>
        <w:pStyle w:val="ESNumberedBullet1"/>
        <w:spacing w:before="120" w:line="280" w:lineRule="atLeast"/>
        <w:rPr>
          <w:sz w:val="20"/>
          <w:szCs w:val="28"/>
        </w:rPr>
      </w:pPr>
      <w:r w:rsidRPr="00C13B94">
        <w:rPr>
          <w:sz w:val="20"/>
          <w:szCs w:val="28"/>
        </w:rPr>
        <w:t>Clause 11.03-1R (Activity centres – Metropolitan Melbourne) supports the development and growth of activity centres. The amendment will not have any adverse on Activity Centres in Metropolitan Melbourne and will not seek to compete with such land use.</w:t>
      </w:r>
    </w:p>
    <w:p w14:paraId="3B5B6656" w14:textId="73B7F169" w:rsidR="006476A2" w:rsidRPr="00C13B94" w:rsidRDefault="006476A2" w:rsidP="00612EF5">
      <w:pPr>
        <w:pStyle w:val="ESNumberedBullet1"/>
        <w:spacing w:before="120" w:line="280" w:lineRule="atLeast"/>
        <w:rPr>
          <w:sz w:val="20"/>
          <w:szCs w:val="28"/>
        </w:rPr>
      </w:pPr>
      <w:r w:rsidRPr="00C13B94">
        <w:rPr>
          <w:sz w:val="20"/>
          <w:szCs w:val="28"/>
        </w:rPr>
        <w:t xml:space="preserve">Clause 15.01-1S (Urban design) aims to create urban environments that are safe, healthy, </w:t>
      </w:r>
      <w:r w:rsidR="00B229E7" w:rsidRPr="00C13B94">
        <w:rPr>
          <w:sz w:val="20"/>
          <w:szCs w:val="28"/>
        </w:rPr>
        <w:t>functional,</w:t>
      </w:r>
      <w:r w:rsidRPr="00C13B94">
        <w:rPr>
          <w:sz w:val="20"/>
          <w:szCs w:val="28"/>
        </w:rPr>
        <w:t xml:space="preserve"> and enjoyable and that contribute to a sense of place and cultural identity, by ensuring built form outcomes appropriately respond to the urban design context, and key features of the wider site area. </w:t>
      </w:r>
    </w:p>
    <w:p w14:paraId="2075065D" w14:textId="3D98C68B" w:rsidR="006476A2" w:rsidRPr="00C13B94" w:rsidRDefault="006476A2" w:rsidP="00612EF5">
      <w:pPr>
        <w:pStyle w:val="ESNumberedBullet1"/>
        <w:spacing w:before="120" w:line="280" w:lineRule="atLeast"/>
        <w:rPr>
          <w:sz w:val="20"/>
          <w:szCs w:val="28"/>
        </w:rPr>
      </w:pPr>
      <w:r w:rsidRPr="00C13B94">
        <w:rPr>
          <w:sz w:val="20"/>
          <w:szCs w:val="28"/>
        </w:rPr>
        <w:t>Clause 15.01-2S (Building design) recognises the need to achieve building design outcomes that contribute positively to the local context and enhance the public realm. This amendment ensures that future building design and outcomes are appropriate and will positively contribute, through the controls incorporated within the DDO.</w:t>
      </w:r>
    </w:p>
    <w:p w14:paraId="176C9AF9" w14:textId="27B46B12" w:rsidR="006476A2" w:rsidRPr="00C13B94" w:rsidRDefault="006476A2" w:rsidP="00612EF5">
      <w:pPr>
        <w:pStyle w:val="ESNumberedBullet1"/>
        <w:spacing w:before="120" w:line="280" w:lineRule="atLeast"/>
        <w:rPr>
          <w:sz w:val="20"/>
          <w:szCs w:val="28"/>
        </w:rPr>
      </w:pPr>
      <w:r w:rsidRPr="00C13B94">
        <w:rPr>
          <w:sz w:val="20"/>
          <w:szCs w:val="28"/>
        </w:rPr>
        <w:t>Clause 15.01-2S (Heritage) seeks to ensure the conservation of places of heritage significance. The policy acknowledges the need to encourage appropriate development that respects places identified as having heritage value. This amendment has demonstrated that the principle of development in this location can be supported. HO3 and DDO84 ensure that future built outcomes will respond appropriately to the heritage context.</w:t>
      </w:r>
    </w:p>
    <w:p w14:paraId="44808D39" w14:textId="53DCEF39" w:rsidR="006476A2" w:rsidRPr="00C13B94" w:rsidRDefault="006476A2" w:rsidP="00612EF5">
      <w:pPr>
        <w:pStyle w:val="ESNumberedBullet1"/>
        <w:spacing w:before="120" w:line="280" w:lineRule="atLeast"/>
        <w:rPr>
          <w:sz w:val="20"/>
          <w:szCs w:val="28"/>
        </w:rPr>
      </w:pPr>
      <w:r w:rsidRPr="00C13B94">
        <w:rPr>
          <w:sz w:val="20"/>
          <w:szCs w:val="28"/>
        </w:rPr>
        <w:t xml:space="preserve">Clause 17.01-1S (Diversified economy) aims to strengthen and diversify the economy. The amendment will enable ETU to continue to provide its services, which include activities relating to employment and job support. This amendment will allow ETU to expand their support offer, which in turn will bring significant benefits to the local and wider economy. </w:t>
      </w:r>
    </w:p>
    <w:p w14:paraId="77AA1ED3" w14:textId="0056BD55" w:rsidR="006476A2" w:rsidRPr="00C13B94" w:rsidRDefault="006476A2" w:rsidP="00612EF5">
      <w:pPr>
        <w:pStyle w:val="ESNumberedBullet1"/>
        <w:spacing w:before="120" w:line="280" w:lineRule="atLeast"/>
        <w:rPr>
          <w:sz w:val="20"/>
          <w:szCs w:val="28"/>
        </w:rPr>
      </w:pPr>
      <w:r w:rsidRPr="00C13B94">
        <w:rPr>
          <w:sz w:val="20"/>
          <w:szCs w:val="28"/>
        </w:rPr>
        <w:t xml:space="preserve">Clause 17.02-1S (Business) – to encourage development that meets the community’s needs for retail, entertainment, </w:t>
      </w:r>
      <w:r w:rsidR="00B229E7" w:rsidRPr="00C13B94">
        <w:rPr>
          <w:sz w:val="20"/>
          <w:szCs w:val="28"/>
        </w:rPr>
        <w:t>office,</w:t>
      </w:r>
      <w:r w:rsidRPr="00C13B94">
        <w:rPr>
          <w:sz w:val="20"/>
          <w:szCs w:val="28"/>
        </w:rPr>
        <w:t xml:space="preserve"> and other commercial services. </w:t>
      </w:r>
    </w:p>
    <w:p w14:paraId="7C7227C9" w14:textId="46AE7810" w:rsidR="006476A2" w:rsidRPr="00C13B94" w:rsidRDefault="006476A2" w:rsidP="00612EF5">
      <w:pPr>
        <w:pStyle w:val="ESNumberedBullet1"/>
        <w:spacing w:before="120" w:line="280" w:lineRule="atLeast"/>
        <w:rPr>
          <w:sz w:val="20"/>
          <w:szCs w:val="28"/>
        </w:rPr>
      </w:pPr>
      <w:r w:rsidRPr="00C13B94">
        <w:rPr>
          <w:sz w:val="20"/>
          <w:szCs w:val="28"/>
        </w:rPr>
        <w:t xml:space="preserve">Clause 18.02-2S (Public transport) – to facilitate greater use of public transport and promote increased development close to high-quality public transport routes. The amendment will encourage the use of public transport given its proximity to existing and emerging strategic transport linkages.  </w:t>
      </w:r>
    </w:p>
    <w:p w14:paraId="070B1CB8" w14:textId="5D2E24AC" w:rsidR="006476A2" w:rsidRPr="00C13B94" w:rsidRDefault="006476A2" w:rsidP="00612EF5">
      <w:pPr>
        <w:pStyle w:val="ESNumberedBullet1"/>
        <w:spacing w:before="120" w:line="280" w:lineRule="atLeast"/>
        <w:rPr>
          <w:sz w:val="20"/>
          <w:szCs w:val="28"/>
        </w:rPr>
      </w:pPr>
      <w:r w:rsidRPr="00C13B94">
        <w:rPr>
          <w:sz w:val="20"/>
          <w:szCs w:val="28"/>
        </w:rPr>
        <w:t>Clause 18.02-4S (Car parking) – to ensure an adequate supply of car parking that is appropriately designed and located. The amendment incorporates sufficient car parking for the existing land use. This amendment proposes to rezone land to form part of the MUZ will ensure that the zone will reflect the correct land use and will also ensure that, the site remains in an appropriate zone when considered in the wider context.</w:t>
      </w:r>
    </w:p>
    <w:p w14:paraId="4D28F0FD" w14:textId="71E72457" w:rsidR="006476A2" w:rsidRPr="00C13B94" w:rsidRDefault="006476A2" w:rsidP="00612EF5">
      <w:pPr>
        <w:pStyle w:val="ESNumberedBullet1"/>
        <w:spacing w:before="120" w:line="280" w:lineRule="atLeast"/>
        <w:rPr>
          <w:sz w:val="20"/>
          <w:szCs w:val="28"/>
        </w:rPr>
      </w:pPr>
      <w:r w:rsidRPr="00612EF5">
        <w:rPr>
          <w:sz w:val="20"/>
          <w:szCs w:val="28"/>
        </w:rPr>
        <w:t xml:space="preserve">Clause 11 seeks to promote the sustainable growth and development of Victoria and goes on to recognise the importance of urban renewal and infill development. This amendment will enable the development of an under-utilised, sustainably located building, and as such, the proposal complies with Clause 11. </w:t>
      </w:r>
    </w:p>
    <w:p w14:paraId="6418606E" w14:textId="7CD90EEC" w:rsidR="006476A2" w:rsidRPr="00C13B94" w:rsidRDefault="00AB60F1" w:rsidP="00612EF5">
      <w:pPr>
        <w:spacing w:before="120" w:line="280" w:lineRule="atLeast"/>
        <w:jc w:val="both"/>
        <w:rPr>
          <w:sz w:val="20"/>
          <w:szCs w:val="28"/>
        </w:rPr>
      </w:pPr>
      <w:r w:rsidRPr="00612EF5">
        <w:rPr>
          <w:sz w:val="20"/>
          <w:szCs w:val="28"/>
        </w:rPr>
        <w:t>T</w:t>
      </w:r>
      <w:r w:rsidR="006476A2" w:rsidRPr="00612EF5">
        <w:rPr>
          <w:sz w:val="20"/>
          <w:szCs w:val="28"/>
        </w:rPr>
        <w:t xml:space="preserve">he potential built-form outcomes will be an appropriate response to the site and surrounding heritage context. </w:t>
      </w:r>
      <w:r w:rsidRPr="00612EF5">
        <w:rPr>
          <w:sz w:val="20"/>
          <w:szCs w:val="28"/>
        </w:rPr>
        <w:t>T</w:t>
      </w:r>
      <w:r w:rsidR="006476A2" w:rsidRPr="00612EF5">
        <w:rPr>
          <w:sz w:val="20"/>
          <w:szCs w:val="28"/>
        </w:rPr>
        <w:t xml:space="preserve">he proposal aligns with the aspirations of Clause 15. These built-form outcomes will be further controlled by the DDO that will apply to the site. </w:t>
      </w:r>
    </w:p>
    <w:p w14:paraId="3464D271" w14:textId="77777777" w:rsidR="006476A2" w:rsidRPr="00612EF5" w:rsidRDefault="006476A2" w:rsidP="00612EF5">
      <w:pPr>
        <w:spacing w:before="120" w:line="280" w:lineRule="atLeast"/>
        <w:jc w:val="both"/>
        <w:rPr>
          <w:sz w:val="20"/>
          <w:szCs w:val="28"/>
        </w:rPr>
      </w:pPr>
    </w:p>
    <w:p w14:paraId="60072B7E" w14:textId="0642E18A" w:rsidR="00AB60F1" w:rsidRPr="00612EF5" w:rsidRDefault="006476A2" w:rsidP="00612EF5">
      <w:pPr>
        <w:spacing w:before="120" w:line="280" w:lineRule="atLeast"/>
        <w:jc w:val="both"/>
        <w:rPr>
          <w:sz w:val="20"/>
          <w:szCs w:val="28"/>
        </w:rPr>
      </w:pPr>
      <w:r w:rsidRPr="00612EF5">
        <w:rPr>
          <w:sz w:val="20"/>
          <w:szCs w:val="28"/>
        </w:rPr>
        <w:lastRenderedPageBreak/>
        <w:t xml:space="preserve">The amendment will provide greater certainty for the ETU and will provide greater confidence in their substantial investment at the site. This </w:t>
      </w:r>
      <w:r w:rsidR="00186BF7" w:rsidRPr="00612EF5">
        <w:rPr>
          <w:sz w:val="20"/>
          <w:szCs w:val="28"/>
        </w:rPr>
        <w:t>brings economic</w:t>
      </w:r>
      <w:r w:rsidRPr="00612EF5">
        <w:rPr>
          <w:sz w:val="20"/>
          <w:szCs w:val="28"/>
        </w:rPr>
        <w:t xml:space="preserve"> and social benefits, both directly from any future employment at the site, but also through the Union work and broader, community support services offered by the ETU. </w:t>
      </w:r>
    </w:p>
    <w:p w14:paraId="7E53DC18" w14:textId="77777777" w:rsidR="00AB60F1" w:rsidRPr="00612EF5" w:rsidRDefault="00AB60F1" w:rsidP="00612EF5">
      <w:pPr>
        <w:spacing w:before="120" w:line="280" w:lineRule="atLeast"/>
        <w:jc w:val="both"/>
        <w:rPr>
          <w:sz w:val="20"/>
          <w:szCs w:val="28"/>
        </w:rPr>
      </w:pPr>
    </w:p>
    <w:p w14:paraId="7F31F87E" w14:textId="1414D59E" w:rsidR="00771328" w:rsidRPr="00612EF5" w:rsidRDefault="006476A2" w:rsidP="00612EF5">
      <w:pPr>
        <w:spacing w:before="120" w:line="280" w:lineRule="atLeast"/>
        <w:jc w:val="both"/>
        <w:rPr>
          <w:sz w:val="20"/>
          <w:szCs w:val="28"/>
        </w:rPr>
      </w:pPr>
      <w:r w:rsidRPr="00612EF5">
        <w:rPr>
          <w:sz w:val="20"/>
          <w:szCs w:val="28"/>
        </w:rPr>
        <w:t>The amendment aligns with the aspirations of Clause 17.  Applying the MUZ is consistent with the direction provided by the PPF. It will ensure that the site is appropriately zoned and will also ensure that built-form outcomes are appropriately controlled via the DDO.</w:t>
      </w:r>
    </w:p>
    <w:p w14:paraId="09E4EDC5" w14:textId="77777777" w:rsidR="00440C9E" w:rsidRPr="00FA015D" w:rsidRDefault="00440C9E" w:rsidP="00440C9E">
      <w:pPr>
        <w:pStyle w:val="Heading2"/>
      </w:pPr>
      <w:bookmarkStart w:id="103" w:name="_Toc103201874"/>
      <w:bookmarkStart w:id="104" w:name="_Toc152146960"/>
      <w:bookmarkEnd w:id="102"/>
      <w:r w:rsidRPr="00FA015D">
        <w:t>How Does the Amendment Support or Implement the Local Planning Policy Framework and Specifically the Municipal Strategic Statement?</w:t>
      </w:r>
      <w:bookmarkEnd w:id="103"/>
      <w:bookmarkEnd w:id="104"/>
    </w:p>
    <w:p w14:paraId="3875053B" w14:textId="77777777" w:rsidR="00FA015D" w:rsidRDefault="00FA015D" w:rsidP="00187671">
      <w:pPr>
        <w:rPr>
          <w:b/>
          <w:bCs/>
        </w:rPr>
      </w:pPr>
      <w:bookmarkStart w:id="105" w:name="_Hlk122362315"/>
    </w:p>
    <w:p w14:paraId="4B4A5DA1" w14:textId="18049C9C" w:rsidR="00187671" w:rsidRPr="00C13B94" w:rsidRDefault="00187671" w:rsidP="00612EF5">
      <w:pPr>
        <w:spacing w:before="120" w:line="280" w:lineRule="atLeast"/>
        <w:jc w:val="both"/>
        <w:rPr>
          <w:sz w:val="20"/>
          <w:szCs w:val="28"/>
        </w:rPr>
      </w:pPr>
      <w:r w:rsidRPr="00612EF5">
        <w:rPr>
          <w:b/>
          <w:bCs/>
          <w:sz w:val="20"/>
          <w:szCs w:val="28"/>
        </w:rPr>
        <w:t>Clause 02.02 Vision</w:t>
      </w:r>
      <w:r w:rsidRPr="00C13B94">
        <w:rPr>
          <w:sz w:val="20"/>
          <w:szCs w:val="28"/>
        </w:rPr>
        <w:t xml:space="preserve"> sets out six strategic goals for the City of Melbourne, which are to be: a city for people, a creative city and a prosperous city, a city of knowledge, an eco-</w:t>
      </w:r>
      <w:r w:rsidR="00B229E7" w:rsidRPr="00C13B94">
        <w:rPr>
          <w:sz w:val="20"/>
          <w:szCs w:val="28"/>
        </w:rPr>
        <w:t>city,</w:t>
      </w:r>
      <w:r w:rsidRPr="00C13B94">
        <w:rPr>
          <w:sz w:val="20"/>
          <w:szCs w:val="28"/>
        </w:rPr>
        <w:t xml:space="preserve"> and a connected city.</w:t>
      </w:r>
    </w:p>
    <w:p w14:paraId="7EF6B96F" w14:textId="77777777" w:rsidR="00187671" w:rsidRPr="00C13B94" w:rsidRDefault="00187671" w:rsidP="00612EF5">
      <w:pPr>
        <w:spacing w:before="120" w:line="280" w:lineRule="atLeast"/>
        <w:jc w:val="both"/>
        <w:rPr>
          <w:sz w:val="20"/>
          <w:szCs w:val="28"/>
        </w:rPr>
      </w:pPr>
    </w:p>
    <w:p w14:paraId="5A34D042" w14:textId="77777777" w:rsidR="00187671" w:rsidRPr="00C13B94" w:rsidRDefault="00187671" w:rsidP="00612EF5">
      <w:pPr>
        <w:spacing w:before="120" w:line="280" w:lineRule="atLeast"/>
        <w:jc w:val="both"/>
        <w:rPr>
          <w:sz w:val="20"/>
          <w:szCs w:val="28"/>
        </w:rPr>
      </w:pPr>
      <w:r w:rsidRPr="00C13B94">
        <w:rPr>
          <w:sz w:val="20"/>
          <w:szCs w:val="28"/>
        </w:rPr>
        <w:t>Through the rezoning of the land to the Mixed Use Zone Schedule (MUZ) and the inclusion of Design and Development Overlay Schedule 84 (DDO84), the amendment supports the Strategic Directions in the following ways:</w:t>
      </w:r>
    </w:p>
    <w:p w14:paraId="37265469" w14:textId="77777777" w:rsidR="00187671" w:rsidRPr="00C13B94" w:rsidRDefault="00187671" w:rsidP="00612EF5">
      <w:pPr>
        <w:spacing w:before="120" w:line="280" w:lineRule="atLeast"/>
        <w:jc w:val="both"/>
        <w:rPr>
          <w:sz w:val="20"/>
          <w:szCs w:val="28"/>
        </w:rPr>
      </w:pPr>
    </w:p>
    <w:p w14:paraId="54811137" w14:textId="1BBB68A9" w:rsidR="00187671" w:rsidRPr="00C13B94" w:rsidRDefault="00187671" w:rsidP="00612EF5">
      <w:pPr>
        <w:spacing w:before="120" w:line="280" w:lineRule="atLeast"/>
        <w:jc w:val="both"/>
        <w:rPr>
          <w:sz w:val="20"/>
          <w:szCs w:val="28"/>
        </w:rPr>
      </w:pPr>
      <w:r w:rsidRPr="00612EF5">
        <w:rPr>
          <w:b/>
          <w:bCs/>
          <w:sz w:val="20"/>
          <w:szCs w:val="28"/>
        </w:rPr>
        <w:t>Clause 02.03-1 Settlement</w:t>
      </w:r>
      <w:r w:rsidRPr="00C13B94">
        <w:rPr>
          <w:sz w:val="20"/>
          <w:szCs w:val="28"/>
        </w:rPr>
        <w:t xml:space="preserve"> provides guidance on the existing and future urban renewal areas. The proposed amendment will assist in accommodating future growth of an appropriate land use, in Arden which is an identified, existing urban renewal area.</w:t>
      </w:r>
    </w:p>
    <w:p w14:paraId="767E5959" w14:textId="77777777" w:rsidR="00187671" w:rsidRPr="00C13B94" w:rsidRDefault="00187671" w:rsidP="00612EF5">
      <w:pPr>
        <w:spacing w:before="120" w:line="280" w:lineRule="atLeast"/>
        <w:jc w:val="both"/>
        <w:rPr>
          <w:sz w:val="20"/>
          <w:szCs w:val="28"/>
        </w:rPr>
      </w:pPr>
    </w:p>
    <w:p w14:paraId="68369A86" w14:textId="77777777" w:rsidR="00187671" w:rsidRPr="00C13B94" w:rsidRDefault="00187671" w:rsidP="00612EF5">
      <w:pPr>
        <w:spacing w:before="120" w:line="280" w:lineRule="atLeast"/>
        <w:jc w:val="both"/>
        <w:rPr>
          <w:sz w:val="20"/>
          <w:szCs w:val="28"/>
        </w:rPr>
      </w:pPr>
      <w:r w:rsidRPr="00612EF5">
        <w:rPr>
          <w:b/>
          <w:bCs/>
          <w:sz w:val="20"/>
          <w:szCs w:val="28"/>
        </w:rPr>
        <w:t>Clause 02.03-2 Environment and Landscape Values</w:t>
      </w:r>
      <w:r w:rsidRPr="00C13B94">
        <w:rPr>
          <w:sz w:val="20"/>
          <w:szCs w:val="28"/>
        </w:rPr>
        <w:t xml:space="preserve"> seeks to ensure that habitats in strategically important areas are protected and enhanced. It also goes on to encourage the retention of vegetation and consider the environment through the decision process.  The application of the MUZ and DDO84 will ensure that the framework guiding planning decisions is appropriate and will continue to ensure that any potential environmental and ecological impacts of future development will be addressed. </w:t>
      </w:r>
    </w:p>
    <w:p w14:paraId="11D2F5CD" w14:textId="77777777" w:rsidR="00187671" w:rsidRPr="00C13B94" w:rsidRDefault="00187671" w:rsidP="00612EF5">
      <w:pPr>
        <w:spacing w:before="120" w:line="280" w:lineRule="atLeast"/>
        <w:jc w:val="both"/>
        <w:rPr>
          <w:sz w:val="20"/>
          <w:szCs w:val="28"/>
        </w:rPr>
      </w:pPr>
    </w:p>
    <w:p w14:paraId="652C7B42" w14:textId="77777777" w:rsidR="00187671" w:rsidRPr="00C13B94" w:rsidRDefault="00187671" w:rsidP="00612EF5">
      <w:pPr>
        <w:spacing w:before="120" w:line="280" w:lineRule="atLeast"/>
        <w:jc w:val="both"/>
        <w:rPr>
          <w:sz w:val="20"/>
          <w:szCs w:val="28"/>
        </w:rPr>
      </w:pPr>
      <w:r w:rsidRPr="00612EF5">
        <w:rPr>
          <w:b/>
          <w:bCs/>
          <w:sz w:val="20"/>
          <w:szCs w:val="28"/>
        </w:rPr>
        <w:t>Clause 02.03-3 Environment risks and amenity</w:t>
      </w:r>
      <w:r w:rsidRPr="00C13B94">
        <w:rPr>
          <w:sz w:val="20"/>
          <w:szCs w:val="28"/>
        </w:rPr>
        <w:t xml:space="preserve"> acknowledges the importance of ensuring development gives due regard to climate change matters. It also recognises the importance of managing interfaces between sensitive land uses, to ensure that safeguard against amenity impacts. MUZ and DDO84 provide specific guidance relating to amenity and will ensure that such matters are considered through any planning decisions relating to the site. The framework for decision-making ensures that amenity considerations are appropriately assessed.</w:t>
      </w:r>
    </w:p>
    <w:p w14:paraId="76817F3F" w14:textId="77777777" w:rsidR="00187671" w:rsidRPr="00C13B94" w:rsidRDefault="00187671" w:rsidP="00612EF5">
      <w:pPr>
        <w:spacing w:before="120" w:line="280" w:lineRule="atLeast"/>
        <w:jc w:val="both"/>
        <w:rPr>
          <w:sz w:val="20"/>
          <w:szCs w:val="28"/>
        </w:rPr>
      </w:pPr>
    </w:p>
    <w:p w14:paraId="60FB7FC8" w14:textId="5018226F" w:rsidR="00187671" w:rsidRPr="00C13B94" w:rsidRDefault="00187671" w:rsidP="00612EF5">
      <w:pPr>
        <w:spacing w:before="120" w:line="280" w:lineRule="atLeast"/>
        <w:jc w:val="both"/>
        <w:rPr>
          <w:sz w:val="20"/>
          <w:szCs w:val="28"/>
        </w:rPr>
      </w:pPr>
      <w:r w:rsidRPr="00612EF5">
        <w:rPr>
          <w:b/>
          <w:bCs/>
          <w:sz w:val="20"/>
          <w:szCs w:val="28"/>
        </w:rPr>
        <w:t>Clause 02.03-4 Built Environment and Heritage</w:t>
      </w:r>
      <w:r w:rsidRPr="00612EF5">
        <w:rPr>
          <w:sz w:val="20"/>
          <w:szCs w:val="28"/>
        </w:rPr>
        <w:t xml:space="preserve"> </w:t>
      </w:r>
      <w:r w:rsidRPr="00C13B94">
        <w:rPr>
          <w:sz w:val="20"/>
          <w:szCs w:val="28"/>
        </w:rPr>
        <w:t>recognises the importance of retaining Melbourne’s distinctive urban structure, and significant heritage buildings. It goes on to outline that where built form character of an area is valued, new development must respect such character and add to the overall quality of the environment. This amendment provides detailed built-form guidelines through the application of the MUZ, DDO</w:t>
      </w:r>
      <w:r w:rsidR="00AC07FF" w:rsidRPr="00C13B94">
        <w:rPr>
          <w:sz w:val="20"/>
          <w:szCs w:val="28"/>
        </w:rPr>
        <w:t>84</w:t>
      </w:r>
      <w:r w:rsidRPr="00C13B94">
        <w:rPr>
          <w:sz w:val="20"/>
          <w:szCs w:val="28"/>
        </w:rPr>
        <w:t>. and HO3. This provides a robust framework for decision making which will ensure that built-form outcomes enhance the character and heritage features of the site and surrounding area.</w:t>
      </w:r>
    </w:p>
    <w:p w14:paraId="2B620B14" w14:textId="77777777" w:rsidR="00187671" w:rsidRPr="00C13B94" w:rsidRDefault="00187671" w:rsidP="00612EF5">
      <w:pPr>
        <w:spacing w:before="120" w:line="280" w:lineRule="atLeast"/>
        <w:jc w:val="both"/>
        <w:rPr>
          <w:sz w:val="20"/>
          <w:szCs w:val="28"/>
        </w:rPr>
      </w:pPr>
    </w:p>
    <w:p w14:paraId="6B4FB58F" w14:textId="17BAEF3B" w:rsidR="00187671" w:rsidRPr="00C13B94" w:rsidRDefault="00187671" w:rsidP="00612EF5">
      <w:pPr>
        <w:spacing w:before="120" w:line="280" w:lineRule="atLeast"/>
        <w:jc w:val="both"/>
        <w:rPr>
          <w:sz w:val="20"/>
          <w:szCs w:val="28"/>
        </w:rPr>
      </w:pPr>
      <w:r w:rsidRPr="00612EF5">
        <w:rPr>
          <w:b/>
          <w:bCs/>
          <w:sz w:val="20"/>
          <w:szCs w:val="28"/>
        </w:rPr>
        <w:t>Clause 02.03-7 Transport</w:t>
      </w:r>
      <w:r w:rsidRPr="00C13B94">
        <w:rPr>
          <w:sz w:val="20"/>
          <w:szCs w:val="28"/>
        </w:rPr>
        <w:t xml:space="preserve"> identifies that a priority for the </w:t>
      </w:r>
      <w:proofErr w:type="gramStart"/>
      <w:r w:rsidRPr="00C13B94">
        <w:rPr>
          <w:sz w:val="20"/>
          <w:szCs w:val="28"/>
        </w:rPr>
        <w:t>City</w:t>
      </w:r>
      <w:proofErr w:type="gramEnd"/>
      <w:r w:rsidRPr="00C13B94">
        <w:rPr>
          <w:sz w:val="20"/>
          <w:szCs w:val="28"/>
        </w:rPr>
        <w:t xml:space="preserve"> is to maximise the use of sustainable modes of travel, in particular public transport. The location of the site ensures that public transport is accessible, and multiple modes of travel to and from the site are within a walkable catchment. This amendment will ensure the aspiration of increasing public transport accessibility, and encouraging sustainable travel is achieved. </w:t>
      </w:r>
    </w:p>
    <w:p w14:paraId="766B4BE8" w14:textId="77777777" w:rsidR="00FA015D" w:rsidRPr="00C13B94" w:rsidRDefault="00FA015D" w:rsidP="00612EF5">
      <w:pPr>
        <w:spacing w:before="120" w:line="280" w:lineRule="atLeast"/>
        <w:jc w:val="both"/>
        <w:rPr>
          <w:sz w:val="20"/>
          <w:szCs w:val="28"/>
        </w:rPr>
      </w:pPr>
    </w:p>
    <w:p w14:paraId="6BF53119" w14:textId="77777777" w:rsidR="00187671" w:rsidRPr="00C13B94" w:rsidRDefault="00187671" w:rsidP="00612EF5">
      <w:pPr>
        <w:spacing w:before="120" w:line="280" w:lineRule="atLeast"/>
        <w:jc w:val="both"/>
        <w:rPr>
          <w:sz w:val="20"/>
          <w:szCs w:val="28"/>
        </w:rPr>
      </w:pPr>
      <w:r w:rsidRPr="00C13B94">
        <w:rPr>
          <w:sz w:val="20"/>
          <w:szCs w:val="28"/>
        </w:rPr>
        <w:t xml:space="preserve">This amendment seeks to revise the zoning maps associated with the Planning Scheme. It does not seek to make any changes to the existing MSS or PPF and is consistent with the objectives of the PPF.  </w:t>
      </w:r>
    </w:p>
    <w:p w14:paraId="2933283F" w14:textId="77777777" w:rsidR="00187671" w:rsidRPr="00C13B94" w:rsidRDefault="00187671" w:rsidP="00612EF5">
      <w:pPr>
        <w:spacing w:before="120" w:line="280" w:lineRule="atLeast"/>
        <w:jc w:val="both"/>
        <w:rPr>
          <w:sz w:val="20"/>
          <w:szCs w:val="28"/>
        </w:rPr>
      </w:pPr>
    </w:p>
    <w:p w14:paraId="447717A1" w14:textId="3BDB119D" w:rsidR="00440C9E" w:rsidRPr="00C13B94" w:rsidRDefault="00187671" w:rsidP="00612EF5">
      <w:pPr>
        <w:spacing w:before="120" w:line="280" w:lineRule="atLeast"/>
        <w:jc w:val="both"/>
        <w:rPr>
          <w:sz w:val="20"/>
          <w:szCs w:val="28"/>
        </w:rPr>
      </w:pPr>
      <w:r w:rsidRPr="00C13B94">
        <w:rPr>
          <w:sz w:val="20"/>
          <w:szCs w:val="28"/>
        </w:rPr>
        <w:t>The application of the MUZ and DDO84 is consistent with the direction provided by the PPF for the established areas of Arden Street.</w:t>
      </w:r>
      <w:bookmarkStart w:id="106" w:name="_Hlk122362568"/>
      <w:bookmarkEnd w:id="105"/>
    </w:p>
    <w:p w14:paraId="27D2448C" w14:textId="77777777" w:rsidR="00440C9E" w:rsidRPr="00FA015D" w:rsidRDefault="00440C9E" w:rsidP="00440C9E">
      <w:pPr>
        <w:pStyle w:val="Heading2"/>
      </w:pPr>
      <w:bookmarkStart w:id="107" w:name="_Toc103201876"/>
      <w:bookmarkStart w:id="108" w:name="_Toc152146961"/>
      <w:bookmarkEnd w:id="106"/>
      <w:r w:rsidRPr="00FA015D">
        <w:t>Does the Amendment Address the Requirements of the Transport Integration Act 2010?</w:t>
      </w:r>
      <w:bookmarkEnd w:id="107"/>
      <w:bookmarkEnd w:id="108"/>
    </w:p>
    <w:p w14:paraId="489C6628" w14:textId="77777777" w:rsidR="00440C9E" w:rsidRPr="00612EF5" w:rsidRDefault="00440C9E" w:rsidP="00612EF5">
      <w:pPr>
        <w:spacing w:before="120" w:line="280" w:lineRule="atLeast"/>
        <w:jc w:val="both"/>
        <w:rPr>
          <w:sz w:val="20"/>
          <w:szCs w:val="28"/>
        </w:rPr>
      </w:pPr>
      <w:bookmarkStart w:id="109" w:name="_Hlk121829910"/>
      <w:r w:rsidRPr="00612EF5">
        <w:rPr>
          <w:sz w:val="20"/>
          <w:szCs w:val="28"/>
        </w:rPr>
        <w:t>This Amendment does not have any significant impacts on the objectives and decision-making principles set out in the Transport Integration Act 2010.</w:t>
      </w:r>
    </w:p>
    <w:p w14:paraId="3307E852" w14:textId="77777777" w:rsidR="00440C9E" w:rsidRPr="00FA015D" w:rsidRDefault="00440C9E" w:rsidP="00440C9E">
      <w:pPr>
        <w:pStyle w:val="Heading2"/>
      </w:pPr>
      <w:bookmarkStart w:id="110" w:name="_Toc103201877"/>
      <w:bookmarkStart w:id="111" w:name="_Toc152146962"/>
      <w:bookmarkEnd w:id="109"/>
      <w:r w:rsidRPr="00FA015D">
        <w:t>What Impact Will the New Planning Provisions have on the Administrative Costs of the Responsible Authority?</w:t>
      </w:r>
      <w:bookmarkEnd w:id="110"/>
      <w:bookmarkEnd w:id="111"/>
    </w:p>
    <w:p w14:paraId="76CECA85" w14:textId="51449A3C" w:rsidR="007D786D" w:rsidRPr="00C13B94" w:rsidRDefault="00440C9E">
      <w:pPr>
        <w:spacing w:line="259" w:lineRule="auto"/>
        <w:contextualSpacing w:val="0"/>
        <w:rPr>
          <w:sz w:val="20"/>
          <w:szCs w:val="28"/>
        </w:rPr>
      </w:pPr>
      <w:bookmarkStart w:id="112" w:name="_Hlk121829866"/>
      <w:r w:rsidRPr="00C13B94">
        <w:rPr>
          <w:sz w:val="20"/>
          <w:szCs w:val="28"/>
        </w:rPr>
        <w:t xml:space="preserve">The Amendment will not have a significant impact on the resource and administrative costs of the responsible authority. The proponent will be liable for any costs with the </w:t>
      </w:r>
      <w:r w:rsidR="004C6A8C" w:rsidRPr="00C13B94">
        <w:rPr>
          <w:sz w:val="20"/>
          <w:szCs w:val="28"/>
        </w:rPr>
        <w:t xml:space="preserve">amendment </w:t>
      </w:r>
      <w:r w:rsidRPr="00C13B94">
        <w:rPr>
          <w:sz w:val="20"/>
          <w:szCs w:val="28"/>
        </w:rPr>
        <w:t>process.</w:t>
      </w:r>
    </w:p>
    <w:p w14:paraId="49F7F2D0" w14:textId="00A25DAD" w:rsidR="00C63591" w:rsidRPr="00A44708" w:rsidRDefault="00C63591" w:rsidP="002B6021">
      <w:pPr>
        <w:pStyle w:val="Heading1"/>
      </w:pPr>
      <w:bookmarkStart w:id="113" w:name="_Toc152146963"/>
      <w:bookmarkEnd w:id="112"/>
      <w:r w:rsidRPr="00A44708">
        <w:t>Ministerial Directions</w:t>
      </w:r>
      <w:bookmarkEnd w:id="66"/>
      <w:bookmarkEnd w:id="113"/>
    </w:p>
    <w:p w14:paraId="482AF8D8" w14:textId="31DA5379" w:rsidR="00C63591" w:rsidRPr="00C63591" w:rsidRDefault="00C63591" w:rsidP="002B6021">
      <w:pPr>
        <w:pStyle w:val="Heading2"/>
      </w:pPr>
      <w:bookmarkStart w:id="114" w:name="_Toc103201879"/>
      <w:bookmarkStart w:id="115" w:name="_Toc152146964"/>
      <w:r w:rsidRPr="00C63591">
        <w:t xml:space="preserve">Ministerial </w:t>
      </w:r>
      <w:r w:rsidRPr="002B6021">
        <w:t>Direction</w:t>
      </w:r>
      <w:r w:rsidRPr="00C63591">
        <w:t xml:space="preserve"> </w:t>
      </w:r>
      <w:r w:rsidR="00375BC3">
        <w:t xml:space="preserve">No. </w:t>
      </w:r>
      <w:r w:rsidRPr="00C63591">
        <w:t>1</w:t>
      </w:r>
      <w:bookmarkEnd w:id="114"/>
      <w:bookmarkEnd w:id="115"/>
    </w:p>
    <w:p w14:paraId="3093E817" w14:textId="64AF2F79" w:rsidR="005E6EA6" w:rsidRPr="00C13B94" w:rsidRDefault="005E6EA6" w:rsidP="00612EF5">
      <w:pPr>
        <w:spacing w:before="120" w:line="280" w:lineRule="atLeast"/>
        <w:jc w:val="both"/>
        <w:rPr>
          <w:sz w:val="20"/>
          <w:szCs w:val="28"/>
        </w:rPr>
      </w:pPr>
      <w:r w:rsidRPr="00C13B94">
        <w:rPr>
          <w:sz w:val="20"/>
          <w:szCs w:val="28"/>
        </w:rPr>
        <w:t>Ministerial Direction no. 1 requires a Planning Authority to:</w:t>
      </w:r>
    </w:p>
    <w:p w14:paraId="353B93BF" w14:textId="09856AC9" w:rsidR="005E6EA6" w:rsidRPr="00612EF5" w:rsidRDefault="005E6EA6" w:rsidP="00612EF5">
      <w:pPr>
        <w:pStyle w:val="ESNumberedBullet1"/>
        <w:spacing w:before="120" w:line="280" w:lineRule="atLeast"/>
        <w:rPr>
          <w:i/>
          <w:iCs/>
          <w:sz w:val="20"/>
          <w:szCs w:val="28"/>
        </w:rPr>
      </w:pPr>
      <w:r w:rsidRPr="00612EF5">
        <w:rPr>
          <w:i/>
          <w:iCs/>
          <w:sz w:val="20"/>
          <w:szCs w:val="28"/>
        </w:rPr>
        <w:t xml:space="preserve">satisfy itself whether or not the land, or parts of the land, are potentially </w:t>
      </w:r>
      <w:r w:rsidR="00B229E7" w:rsidRPr="00612EF5">
        <w:rPr>
          <w:i/>
          <w:iCs/>
          <w:sz w:val="20"/>
          <w:szCs w:val="28"/>
        </w:rPr>
        <w:t>contaminated.</w:t>
      </w:r>
      <w:r w:rsidRPr="00612EF5">
        <w:rPr>
          <w:i/>
          <w:iCs/>
          <w:sz w:val="20"/>
          <w:szCs w:val="28"/>
        </w:rPr>
        <w:t xml:space="preserve"> </w:t>
      </w:r>
    </w:p>
    <w:p w14:paraId="499FD49D" w14:textId="7D17A5BE" w:rsidR="005E6EA6" w:rsidRPr="00612EF5" w:rsidRDefault="005E6EA6" w:rsidP="00612EF5">
      <w:pPr>
        <w:pStyle w:val="ESNumberedBullet1"/>
        <w:spacing w:before="120" w:line="280" w:lineRule="atLeast"/>
        <w:rPr>
          <w:i/>
          <w:iCs/>
          <w:sz w:val="20"/>
          <w:szCs w:val="28"/>
        </w:rPr>
      </w:pPr>
      <w:r w:rsidRPr="00612EF5">
        <w:rPr>
          <w:i/>
          <w:iCs/>
          <w:sz w:val="20"/>
          <w:szCs w:val="28"/>
        </w:rPr>
        <w:t xml:space="preserve">where it has determined that the land is not potentially contaminated, state the determination in the amendment Explanatory Report; and </w:t>
      </w:r>
    </w:p>
    <w:p w14:paraId="4175AB54" w14:textId="1C59836A" w:rsidR="005330CA" w:rsidRPr="00612EF5" w:rsidRDefault="005E6EA6" w:rsidP="00612EF5">
      <w:pPr>
        <w:pStyle w:val="ESNumberedBullet1"/>
        <w:spacing w:before="120" w:line="280" w:lineRule="atLeast"/>
        <w:rPr>
          <w:i/>
          <w:iCs/>
          <w:sz w:val="20"/>
          <w:szCs w:val="28"/>
        </w:rPr>
      </w:pPr>
      <w:r w:rsidRPr="00612EF5">
        <w:rPr>
          <w:i/>
          <w:iCs/>
          <w:sz w:val="20"/>
          <w:szCs w:val="28"/>
        </w:rPr>
        <w:t>where it has determined the land, or parts of the land, are potentially contaminated, must state the determination in the amendment Explanatory Report and satisfy itself that the environmental conditions of that land are or will be suitable for that use.</w:t>
      </w:r>
    </w:p>
    <w:p w14:paraId="13D63646" w14:textId="26EF1343" w:rsidR="00375BC3" w:rsidRDefault="00375BC3" w:rsidP="00770C54">
      <w:pPr>
        <w:pStyle w:val="Heading2"/>
      </w:pPr>
      <w:bookmarkStart w:id="116" w:name="_Toc152146965"/>
      <w:bookmarkStart w:id="117" w:name="_Hlk122362683"/>
      <w:bookmarkStart w:id="118" w:name="_Toc103201880"/>
      <w:r>
        <w:t>Response to Ministerial Direction No. 1</w:t>
      </w:r>
      <w:bookmarkEnd w:id="116"/>
      <w:r>
        <w:t xml:space="preserve"> </w:t>
      </w:r>
    </w:p>
    <w:p w14:paraId="6074FD5E" w14:textId="39CD7E00" w:rsidR="005330CA" w:rsidRPr="00C13B94" w:rsidRDefault="00313A7D" w:rsidP="00603DA2">
      <w:pPr>
        <w:spacing w:line="259" w:lineRule="auto"/>
        <w:contextualSpacing w:val="0"/>
        <w:rPr>
          <w:sz w:val="20"/>
          <w:szCs w:val="28"/>
        </w:rPr>
      </w:pPr>
      <w:bookmarkStart w:id="119" w:name="_Hlk121829569"/>
      <w:bookmarkStart w:id="120" w:name="_Hlk121912264"/>
      <w:r w:rsidRPr="00C13B94">
        <w:rPr>
          <w:sz w:val="20"/>
          <w:szCs w:val="28"/>
        </w:rPr>
        <w:t xml:space="preserve">The site is not known to have a history of land contamination and is not located in </w:t>
      </w:r>
      <w:r w:rsidR="00903153" w:rsidRPr="00C13B94">
        <w:rPr>
          <w:sz w:val="20"/>
          <w:szCs w:val="28"/>
        </w:rPr>
        <w:t>proximity to</w:t>
      </w:r>
      <w:r w:rsidRPr="00C13B94">
        <w:rPr>
          <w:sz w:val="20"/>
          <w:szCs w:val="28"/>
        </w:rPr>
        <w:t xml:space="preserve"> any environmental designations that would suggest that there are such risks present. </w:t>
      </w:r>
      <w:bookmarkEnd w:id="119"/>
      <w:r w:rsidRPr="00C13B94">
        <w:rPr>
          <w:sz w:val="20"/>
          <w:szCs w:val="28"/>
        </w:rPr>
        <w:t>Any matters relating to land contamination could be adequately assessed/managed through the permitting process</w:t>
      </w:r>
      <w:bookmarkEnd w:id="120"/>
      <w:r w:rsidRPr="00C13B94">
        <w:rPr>
          <w:sz w:val="20"/>
          <w:szCs w:val="28"/>
        </w:rPr>
        <w:t xml:space="preserve">.  </w:t>
      </w:r>
    </w:p>
    <w:p w14:paraId="19CAADF9" w14:textId="35F251AD" w:rsidR="00C63591" w:rsidRPr="00C63591" w:rsidRDefault="00C63591" w:rsidP="002B6021">
      <w:pPr>
        <w:pStyle w:val="Heading2"/>
      </w:pPr>
      <w:bookmarkStart w:id="121" w:name="_Toc152146966"/>
      <w:bookmarkEnd w:id="117"/>
      <w:r w:rsidRPr="00C63591">
        <w:t xml:space="preserve">Ministerial Direction </w:t>
      </w:r>
      <w:r w:rsidR="00375BC3">
        <w:t xml:space="preserve">No. </w:t>
      </w:r>
      <w:r w:rsidRPr="00C63591">
        <w:t>9</w:t>
      </w:r>
      <w:bookmarkEnd w:id="118"/>
      <w:bookmarkEnd w:id="121"/>
    </w:p>
    <w:p w14:paraId="4970C0C5" w14:textId="77777777" w:rsidR="005E6EA6" w:rsidRPr="00C13B94" w:rsidRDefault="005E6EA6" w:rsidP="00603DA2">
      <w:pPr>
        <w:spacing w:line="259" w:lineRule="auto"/>
        <w:contextualSpacing w:val="0"/>
        <w:rPr>
          <w:sz w:val="20"/>
          <w:szCs w:val="28"/>
        </w:rPr>
      </w:pPr>
      <w:r w:rsidRPr="00C13B94">
        <w:rPr>
          <w:sz w:val="20"/>
          <w:szCs w:val="28"/>
        </w:rPr>
        <w:t xml:space="preserve">Ministerial Direction no. 9 requires the following to be met: </w:t>
      </w:r>
    </w:p>
    <w:p w14:paraId="05A025B4" w14:textId="77777777" w:rsidR="005E6EA6" w:rsidRPr="00C13B94" w:rsidRDefault="005E6EA6" w:rsidP="00603DA2">
      <w:pPr>
        <w:pStyle w:val="ESNumberedBullet1"/>
        <w:spacing w:before="120" w:line="280" w:lineRule="atLeast"/>
        <w:rPr>
          <w:i/>
          <w:iCs/>
          <w:sz w:val="20"/>
          <w:szCs w:val="28"/>
        </w:rPr>
      </w:pPr>
      <w:r w:rsidRPr="00C13B94">
        <w:rPr>
          <w:i/>
          <w:iCs/>
          <w:sz w:val="20"/>
          <w:szCs w:val="28"/>
        </w:rPr>
        <w:t>Have regard to the Metropolitan Planning Strategy.</w:t>
      </w:r>
    </w:p>
    <w:p w14:paraId="6BD31F96" w14:textId="77777777" w:rsidR="005E6EA6" w:rsidRPr="00C13B94" w:rsidRDefault="005E6EA6" w:rsidP="00603DA2">
      <w:pPr>
        <w:pStyle w:val="ESNumberedBullet1"/>
        <w:spacing w:before="120" w:line="280" w:lineRule="atLeast"/>
        <w:rPr>
          <w:i/>
          <w:iCs/>
          <w:sz w:val="20"/>
          <w:szCs w:val="28"/>
        </w:rPr>
      </w:pPr>
      <w:r w:rsidRPr="00C13B94">
        <w:rPr>
          <w:i/>
          <w:iCs/>
          <w:sz w:val="20"/>
          <w:szCs w:val="28"/>
        </w:rPr>
        <w:t>Include in the explanatory report discussion of how the amendment addresses the following matters:</w:t>
      </w:r>
    </w:p>
    <w:p w14:paraId="1D6FBC59" w14:textId="77777777" w:rsidR="005E6EA6" w:rsidRPr="00603DA2" w:rsidRDefault="005E6EA6" w:rsidP="00B229E7">
      <w:pPr>
        <w:pStyle w:val="ESNumberedBullet2"/>
        <w:numPr>
          <w:ilvl w:val="0"/>
          <w:numId w:val="25"/>
        </w:numPr>
        <w:rPr>
          <w:i/>
          <w:iCs/>
          <w:sz w:val="20"/>
          <w:szCs w:val="28"/>
        </w:rPr>
      </w:pPr>
      <w:r w:rsidRPr="00603DA2">
        <w:rPr>
          <w:i/>
          <w:iCs/>
          <w:sz w:val="20"/>
          <w:szCs w:val="28"/>
        </w:rPr>
        <w:t>What aspects, if any, of the Metropolitan Planning Strategy are relevant?</w:t>
      </w:r>
    </w:p>
    <w:p w14:paraId="629969BD" w14:textId="77777777" w:rsidR="005E6EA6" w:rsidRPr="00603DA2" w:rsidRDefault="005E6EA6" w:rsidP="00B229E7">
      <w:pPr>
        <w:pStyle w:val="ESNumberedBullet2"/>
        <w:numPr>
          <w:ilvl w:val="0"/>
          <w:numId w:val="25"/>
        </w:numPr>
        <w:rPr>
          <w:i/>
          <w:iCs/>
          <w:sz w:val="20"/>
          <w:szCs w:val="28"/>
        </w:rPr>
      </w:pPr>
      <w:r w:rsidRPr="00603DA2">
        <w:rPr>
          <w:i/>
          <w:iCs/>
          <w:sz w:val="20"/>
          <w:szCs w:val="28"/>
        </w:rPr>
        <w:t>How does the Metropolitan Planning Strategy affect the amendment?</w:t>
      </w:r>
    </w:p>
    <w:p w14:paraId="327A5579" w14:textId="77777777" w:rsidR="005E6EA6" w:rsidRPr="00603DA2" w:rsidRDefault="005E6EA6" w:rsidP="00B229E7">
      <w:pPr>
        <w:pStyle w:val="ESNumberedBullet2"/>
        <w:numPr>
          <w:ilvl w:val="0"/>
          <w:numId w:val="25"/>
        </w:numPr>
        <w:rPr>
          <w:i/>
          <w:iCs/>
          <w:sz w:val="20"/>
          <w:szCs w:val="28"/>
        </w:rPr>
      </w:pPr>
      <w:r w:rsidRPr="00603DA2">
        <w:rPr>
          <w:i/>
          <w:iCs/>
          <w:sz w:val="20"/>
          <w:szCs w:val="28"/>
        </w:rPr>
        <w:t>Is the amendment consistent with the directions and policies in the Metropolitan Planning Strategy?</w:t>
      </w:r>
    </w:p>
    <w:p w14:paraId="1A2DC652" w14:textId="77777777" w:rsidR="005E6EA6" w:rsidRPr="00603DA2" w:rsidRDefault="005E6EA6" w:rsidP="00B229E7">
      <w:pPr>
        <w:pStyle w:val="ESNumberedBullet2"/>
        <w:numPr>
          <w:ilvl w:val="0"/>
          <w:numId w:val="25"/>
        </w:numPr>
        <w:rPr>
          <w:i/>
          <w:iCs/>
          <w:sz w:val="20"/>
          <w:szCs w:val="28"/>
        </w:rPr>
      </w:pPr>
      <w:r w:rsidRPr="00603DA2">
        <w:rPr>
          <w:i/>
          <w:iCs/>
          <w:sz w:val="20"/>
          <w:szCs w:val="28"/>
        </w:rPr>
        <w:t>Does the amendment support, give effect to or assist the implementation of the Metropolitan Planning Strategy or can it be reasonably modified to do so?</w:t>
      </w:r>
    </w:p>
    <w:p w14:paraId="691DF694" w14:textId="77777777" w:rsidR="005E6EA6" w:rsidRPr="00603DA2" w:rsidRDefault="005E6EA6" w:rsidP="00B229E7">
      <w:pPr>
        <w:pStyle w:val="ESNumberedBullet2"/>
        <w:numPr>
          <w:ilvl w:val="0"/>
          <w:numId w:val="25"/>
        </w:numPr>
        <w:rPr>
          <w:i/>
          <w:iCs/>
          <w:sz w:val="20"/>
          <w:szCs w:val="28"/>
        </w:rPr>
      </w:pPr>
      <w:r w:rsidRPr="00603DA2">
        <w:rPr>
          <w:i/>
          <w:iCs/>
          <w:sz w:val="20"/>
          <w:szCs w:val="28"/>
        </w:rPr>
        <w:t>Will the amendment compromise the implementation of the Metropolitan Planning Strategy?</w:t>
      </w:r>
    </w:p>
    <w:p w14:paraId="5D3E3348" w14:textId="77777777" w:rsidR="00C63591" w:rsidRPr="00C63591" w:rsidRDefault="00C63591" w:rsidP="002B6021">
      <w:pPr>
        <w:pStyle w:val="Heading2"/>
      </w:pPr>
      <w:bookmarkStart w:id="122" w:name="_Toc152146967"/>
      <w:bookmarkStart w:id="123" w:name="_Hlk122362705"/>
      <w:r w:rsidRPr="00C63591">
        <w:lastRenderedPageBreak/>
        <w:t>Response to Ministerial Direction No. 9</w:t>
      </w:r>
      <w:bookmarkEnd w:id="122"/>
    </w:p>
    <w:p w14:paraId="725ED680" w14:textId="36A073B5" w:rsidR="00313A7D" w:rsidRPr="00C13B94" w:rsidRDefault="00903153" w:rsidP="00603DA2">
      <w:pPr>
        <w:spacing w:line="259" w:lineRule="auto"/>
        <w:contextualSpacing w:val="0"/>
        <w:rPr>
          <w:sz w:val="20"/>
          <w:szCs w:val="28"/>
        </w:rPr>
      </w:pPr>
      <w:bookmarkStart w:id="124" w:name="_Hlk121912304"/>
      <w:r w:rsidRPr="00C13B94">
        <w:rPr>
          <w:sz w:val="20"/>
          <w:szCs w:val="28"/>
        </w:rPr>
        <w:t xml:space="preserve">The proposed amendment is consistent with the directions and policies of the Metropolitan Planning Strategy (MPS). The </w:t>
      </w:r>
      <w:r w:rsidR="00880D8A" w:rsidRPr="00C13B94">
        <w:rPr>
          <w:sz w:val="20"/>
          <w:szCs w:val="28"/>
        </w:rPr>
        <w:t>amendment</w:t>
      </w:r>
      <w:r w:rsidRPr="00C13B94">
        <w:rPr>
          <w:sz w:val="20"/>
          <w:szCs w:val="28"/>
        </w:rPr>
        <w:t xml:space="preserve"> align</w:t>
      </w:r>
      <w:r w:rsidR="00880D8A" w:rsidRPr="00C13B94">
        <w:rPr>
          <w:sz w:val="20"/>
          <w:szCs w:val="28"/>
        </w:rPr>
        <w:t>s</w:t>
      </w:r>
      <w:r w:rsidRPr="00C13B94">
        <w:rPr>
          <w:sz w:val="20"/>
          <w:szCs w:val="28"/>
        </w:rPr>
        <w:t xml:space="preserve"> with the policy aspirations for Arden which is identified as a Major Urban Renewal Precinct. The </w:t>
      </w:r>
      <w:r w:rsidR="00E00B7F" w:rsidRPr="00C13B94">
        <w:rPr>
          <w:sz w:val="20"/>
          <w:szCs w:val="28"/>
        </w:rPr>
        <w:t>PSA</w:t>
      </w:r>
      <w:r w:rsidRPr="00C13B94">
        <w:rPr>
          <w:sz w:val="20"/>
          <w:szCs w:val="28"/>
        </w:rPr>
        <w:t xml:space="preserve"> will facilitate the future redevelopment of the site, so that it can be used in a more effective manner, allowing for the growth of land use that supports both local employment and the local community</w:t>
      </w:r>
      <w:bookmarkEnd w:id="124"/>
      <w:r w:rsidRPr="00C13B94">
        <w:rPr>
          <w:sz w:val="20"/>
          <w:szCs w:val="28"/>
        </w:rPr>
        <w:t>.</w:t>
      </w:r>
    </w:p>
    <w:p w14:paraId="2341ACC5" w14:textId="77777777" w:rsidR="00C63591" w:rsidRPr="00C63591" w:rsidRDefault="00C63591" w:rsidP="002B6021">
      <w:pPr>
        <w:pStyle w:val="Heading2"/>
      </w:pPr>
      <w:bookmarkStart w:id="125" w:name="_Toc103201881"/>
      <w:bookmarkStart w:id="126" w:name="_Toc152146968"/>
      <w:bookmarkEnd w:id="123"/>
      <w:r w:rsidRPr="00C63591">
        <w:t>Ministerial Direction No. 11</w:t>
      </w:r>
      <w:bookmarkEnd w:id="125"/>
      <w:bookmarkEnd w:id="126"/>
    </w:p>
    <w:p w14:paraId="2C5A6E81" w14:textId="08DB8EF0" w:rsidR="008B4914" w:rsidRPr="00C13B94" w:rsidRDefault="008B4914" w:rsidP="00603DA2">
      <w:pPr>
        <w:spacing w:line="259" w:lineRule="auto"/>
        <w:contextualSpacing w:val="0"/>
        <w:rPr>
          <w:sz w:val="20"/>
          <w:szCs w:val="28"/>
        </w:rPr>
      </w:pPr>
      <w:bookmarkStart w:id="127" w:name="_Hlk121829598"/>
      <w:r w:rsidRPr="00C13B94">
        <w:rPr>
          <w:sz w:val="20"/>
          <w:szCs w:val="28"/>
        </w:rPr>
        <w:t xml:space="preserve">DELWP outlines a set of Strategic Assessment Guidelines for preparing and evaluating planning scheme amendments, pursuant to Ministerial Direction No. 11. The purpose of the guidelines is to provide a consistent framework for preparing and evaluating proposed planning scheme amendments. </w:t>
      </w:r>
    </w:p>
    <w:p w14:paraId="108A6BF4" w14:textId="7C06A5A3" w:rsidR="00313A7D" w:rsidRPr="00C63591" w:rsidRDefault="00313A7D" w:rsidP="00313A7D">
      <w:pPr>
        <w:pStyle w:val="Heading2"/>
      </w:pPr>
      <w:bookmarkStart w:id="128" w:name="_Toc152146969"/>
      <w:bookmarkEnd w:id="127"/>
      <w:r w:rsidRPr="00C63591">
        <w:t xml:space="preserve">Response to Ministerial Direction No. </w:t>
      </w:r>
      <w:r>
        <w:t>11</w:t>
      </w:r>
      <w:bookmarkEnd w:id="128"/>
    </w:p>
    <w:p w14:paraId="244E0A54" w14:textId="77777777" w:rsidR="008B4914" w:rsidRPr="00C13B94" w:rsidRDefault="008B4914" w:rsidP="00603DA2">
      <w:pPr>
        <w:spacing w:line="259" w:lineRule="auto"/>
        <w:contextualSpacing w:val="0"/>
        <w:rPr>
          <w:sz w:val="20"/>
          <w:szCs w:val="28"/>
        </w:rPr>
      </w:pPr>
      <w:bookmarkStart w:id="129" w:name="_Hlk121829588"/>
      <w:r w:rsidRPr="00C13B94">
        <w:rPr>
          <w:sz w:val="20"/>
          <w:szCs w:val="28"/>
        </w:rPr>
        <w:t xml:space="preserve">A response to each of the Strategic Assessment Guidelines is provided in </w:t>
      </w:r>
      <w:r w:rsidRPr="00603DA2">
        <w:rPr>
          <w:b/>
          <w:bCs/>
          <w:sz w:val="20"/>
          <w:szCs w:val="28"/>
        </w:rPr>
        <w:t>Section 7.0</w:t>
      </w:r>
      <w:r w:rsidRPr="00C13B94">
        <w:rPr>
          <w:sz w:val="20"/>
          <w:szCs w:val="28"/>
        </w:rPr>
        <w:t xml:space="preserve"> below. </w:t>
      </w:r>
    </w:p>
    <w:p w14:paraId="23292837" w14:textId="77777777" w:rsidR="00C63591" w:rsidRPr="00C63591" w:rsidRDefault="00C63591" w:rsidP="002B6021">
      <w:pPr>
        <w:pStyle w:val="Heading2"/>
      </w:pPr>
      <w:bookmarkStart w:id="130" w:name="_Toc103201882"/>
      <w:bookmarkStart w:id="131" w:name="_Toc152146970"/>
      <w:bookmarkStart w:id="132" w:name="_Hlk122362774"/>
      <w:bookmarkEnd w:id="129"/>
      <w:r w:rsidRPr="00C63591">
        <w:t>Ministerial Direction No. 12</w:t>
      </w:r>
      <w:bookmarkEnd w:id="130"/>
      <w:bookmarkEnd w:id="131"/>
    </w:p>
    <w:bookmarkEnd w:id="132"/>
    <w:p w14:paraId="74C42ED1" w14:textId="77777777" w:rsidR="008B4914" w:rsidRPr="00C13B94" w:rsidRDefault="008B4914" w:rsidP="008B4914">
      <w:pPr>
        <w:rPr>
          <w:sz w:val="20"/>
          <w:szCs w:val="28"/>
        </w:rPr>
      </w:pPr>
      <w:r w:rsidRPr="00C13B94">
        <w:rPr>
          <w:sz w:val="20"/>
          <w:szCs w:val="28"/>
        </w:rPr>
        <w:t xml:space="preserve">Ministerial Direction No. 12 requires the following to be met: </w:t>
      </w:r>
    </w:p>
    <w:p w14:paraId="2545032F" w14:textId="77777777" w:rsidR="008B4914" w:rsidRPr="00C13B94" w:rsidRDefault="008B4914" w:rsidP="00603DA2">
      <w:pPr>
        <w:pStyle w:val="ESNumberedBullet1"/>
        <w:spacing w:before="120" w:line="280" w:lineRule="atLeast"/>
        <w:rPr>
          <w:i/>
          <w:iCs/>
          <w:sz w:val="20"/>
          <w:szCs w:val="28"/>
        </w:rPr>
      </w:pPr>
      <w:r w:rsidRPr="00C13B94">
        <w:rPr>
          <w:i/>
          <w:iCs/>
          <w:sz w:val="20"/>
          <w:szCs w:val="28"/>
        </w:rPr>
        <w:t>In preparing an amendment a planning authority must evaluate and include in the explanatory report a discussion about how the amendment implements any Growth Area Framework Plan applying to the land.</w:t>
      </w:r>
    </w:p>
    <w:p w14:paraId="6397F445" w14:textId="77777777" w:rsidR="008B4914" w:rsidRPr="00C13B94" w:rsidRDefault="008B4914" w:rsidP="00603DA2">
      <w:pPr>
        <w:pStyle w:val="ESNumberedBullet1"/>
        <w:spacing w:before="120" w:line="280" w:lineRule="atLeast"/>
        <w:rPr>
          <w:i/>
          <w:iCs/>
          <w:sz w:val="20"/>
          <w:szCs w:val="28"/>
        </w:rPr>
      </w:pPr>
      <w:r w:rsidRPr="00C13B94">
        <w:rPr>
          <w:i/>
          <w:iCs/>
          <w:sz w:val="20"/>
          <w:szCs w:val="28"/>
        </w:rPr>
        <w:t>In preparing an amendment to incorporate a precinct structure plan in the scheme, or change an incorporated precinct structure plan, a planning authority must demonstrate and show in the explanatory report that the precinct structure plan or any changes to it are in accordance with any applicable Precinct Structure Plan Guidelines approved by the Minister for Planning.</w:t>
      </w:r>
    </w:p>
    <w:p w14:paraId="5782DEDF" w14:textId="77777777" w:rsidR="008B4914" w:rsidRPr="00C13B94" w:rsidRDefault="008B4914" w:rsidP="00603DA2">
      <w:pPr>
        <w:pStyle w:val="ESNumberedBullet1"/>
        <w:spacing w:before="120" w:line="280" w:lineRule="atLeast"/>
        <w:rPr>
          <w:i/>
          <w:iCs/>
          <w:sz w:val="20"/>
          <w:szCs w:val="28"/>
        </w:rPr>
      </w:pPr>
      <w:r w:rsidRPr="00C13B94">
        <w:rPr>
          <w:i/>
          <w:iCs/>
          <w:sz w:val="20"/>
          <w:szCs w:val="28"/>
        </w:rPr>
        <w:t>In preparing an amendment to introduce or change provisions in a schedule to the Urban Growth Zone, a planning authority must evaluate and include in the explanatory report a discussion about:</w:t>
      </w:r>
    </w:p>
    <w:p w14:paraId="52ACE8C0" w14:textId="77777777" w:rsidR="008B4914" w:rsidRPr="00C13B94" w:rsidRDefault="008B4914" w:rsidP="00B229E7">
      <w:pPr>
        <w:pStyle w:val="ESNumberedBullet2"/>
        <w:numPr>
          <w:ilvl w:val="0"/>
          <w:numId w:val="25"/>
        </w:numPr>
        <w:rPr>
          <w:i/>
          <w:iCs/>
          <w:sz w:val="20"/>
          <w:szCs w:val="28"/>
        </w:rPr>
      </w:pPr>
      <w:r w:rsidRPr="00C13B94">
        <w:rPr>
          <w:i/>
          <w:iCs/>
          <w:sz w:val="20"/>
          <w:szCs w:val="28"/>
        </w:rPr>
        <w:t>How the provisions give effect to the intended outcomes of the precinct structure plan.</w:t>
      </w:r>
    </w:p>
    <w:p w14:paraId="7CF88FC8" w14:textId="55E18D2B" w:rsidR="00C63591" w:rsidRPr="00C13B94" w:rsidRDefault="008B4914" w:rsidP="00B229E7">
      <w:pPr>
        <w:pStyle w:val="ESNumberedBullet2"/>
        <w:numPr>
          <w:ilvl w:val="0"/>
          <w:numId w:val="25"/>
        </w:numPr>
        <w:rPr>
          <w:i/>
          <w:iCs/>
          <w:sz w:val="20"/>
          <w:szCs w:val="28"/>
        </w:rPr>
      </w:pPr>
      <w:r w:rsidRPr="00C13B94">
        <w:rPr>
          <w:i/>
          <w:iCs/>
          <w:sz w:val="20"/>
          <w:szCs w:val="28"/>
        </w:rPr>
        <w:t>How a translation of the provisions can be achieved, once development anticipated by the precinct structure plan is substantially complete.</w:t>
      </w:r>
    </w:p>
    <w:p w14:paraId="08EBACAF" w14:textId="6377C19B" w:rsidR="00B92B50" w:rsidRPr="00B92B50" w:rsidRDefault="00C63591" w:rsidP="00B92B50">
      <w:pPr>
        <w:pStyle w:val="Heading2"/>
      </w:pPr>
      <w:bookmarkStart w:id="133" w:name="_Toc152146971"/>
      <w:r w:rsidRPr="00C63591">
        <w:t>Response to Ministerial Direction No. 12</w:t>
      </w:r>
      <w:bookmarkEnd w:id="133"/>
    </w:p>
    <w:p w14:paraId="542F5F4F" w14:textId="38560945" w:rsidR="00C63591" w:rsidRPr="00C13B94" w:rsidRDefault="00313A7D" w:rsidP="003C090B">
      <w:pPr>
        <w:spacing w:line="259" w:lineRule="auto"/>
        <w:contextualSpacing w:val="0"/>
        <w:rPr>
          <w:sz w:val="20"/>
          <w:szCs w:val="28"/>
        </w:rPr>
      </w:pPr>
      <w:bookmarkStart w:id="134" w:name="_Hlk121829626"/>
      <w:r w:rsidRPr="00C13B94">
        <w:rPr>
          <w:sz w:val="20"/>
          <w:szCs w:val="28"/>
        </w:rPr>
        <w:t xml:space="preserve">The matters set out in The Ministerial Direction No.12 are not of relevance to the proposed, planning scheme amendment. </w:t>
      </w:r>
    </w:p>
    <w:p w14:paraId="38683E2E" w14:textId="78CC1C0D" w:rsidR="00C63591" w:rsidRDefault="00C63591" w:rsidP="002B6021">
      <w:pPr>
        <w:pStyle w:val="Heading2"/>
      </w:pPr>
      <w:bookmarkStart w:id="135" w:name="_Toc103201883"/>
      <w:bookmarkStart w:id="136" w:name="_Toc152146972"/>
      <w:bookmarkEnd w:id="134"/>
      <w:r w:rsidRPr="00C63591">
        <w:t>Ministerial Direction No. 19</w:t>
      </w:r>
      <w:bookmarkEnd w:id="135"/>
      <w:bookmarkEnd w:id="136"/>
    </w:p>
    <w:p w14:paraId="153E92D9" w14:textId="39A6026E" w:rsidR="008B4914" w:rsidRPr="00C13B94" w:rsidRDefault="008B4914" w:rsidP="003C090B">
      <w:pPr>
        <w:spacing w:line="259" w:lineRule="auto"/>
        <w:contextualSpacing w:val="0"/>
        <w:rPr>
          <w:sz w:val="20"/>
          <w:szCs w:val="28"/>
        </w:rPr>
      </w:pPr>
      <w:r w:rsidRPr="00C13B94">
        <w:rPr>
          <w:sz w:val="20"/>
          <w:szCs w:val="28"/>
        </w:rPr>
        <w:t>Ministerial Direction 19</w:t>
      </w:r>
      <w:r w:rsidR="00113AE5" w:rsidRPr="00C13B94">
        <w:rPr>
          <w:sz w:val="20"/>
          <w:szCs w:val="28"/>
        </w:rPr>
        <w:t xml:space="preserve"> r</w:t>
      </w:r>
      <w:r w:rsidRPr="00C13B94">
        <w:rPr>
          <w:sz w:val="20"/>
          <w:szCs w:val="28"/>
        </w:rPr>
        <w:t>equires that:</w:t>
      </w:r>
    </w:p>
    <w:p w14:paraId="495D2418" w14:textId="532CD854" w:rsidR="008B4914" w:rsidRPr="003C090B" w:rsidRDefault="008B4914" w:rsidP="003C090B">
      <w:pPr>
        <w:spacing w:line="259" w:lineRule="auto"/>
        <w:contextualSpacing w:val="0"/>
        <w:rPr>
          <w:i/>
          <w:iCs/>
          <w:sz w:val="20"/>
          <w:szCs w:val="28"/>
        </w:rPr>
      </w:pPr>
      <w:r w:rsidRPr="003C090B">
        <w:rPr>
          <w:i/>
          <w:iCs/>
          <w:sz w:val="20"/>
          <w:szCs w:val="28"/>
        </w:rPr>
        <w:t xml:space="preserve">Planning authorities to seek the views of the Environment Protection Authority (EPA) in the preparation of planning scheme reviews and amendments that could result in use or development of land that may result in significant impacts on the environment, </w:t>
      </w:r>
      <w:r w:rsidR="00B229E7" w:rsidRPr="003C090B">
        <w:rPr>
          <w:i/>
          <w:iCs/>
          <w:sz w:val="20"/>
          <w:szCs w:val="28"/>
        </w:rPr>
        <w:t>amenity,</w:t>
      </w:r>
      <w:r w:rsidRPr="003C090B">
        <w:rPr>
          <w:i/>
          <w:iCs/>
          <w:sz w:val="20"/>
          <w:szCs w:val="28"/>
        </w:rPr>
        <w:t xml:space="preserve"> and human health due to pollution and waste.</w:t>
      </w:r>
    </w:p>
    <w:p w14:paraId="12263472" w14:textId="77777777" w:rsidR="00C63591" w:rsidRPr="00C63591" w:rsidRDefault="00C63591" w:rsidP="002B6021">
      <w:pPr>
        <w:pStyle w:val="Heading2"/>
      </w:pPr>
      <w:bookmarkStart w:id="137" w:name="_Toc152146973"/>
      <w:bookmarkStart w:id="138" w:name="_Hlk122362813"/>
      <w:r w:rsidRPr="00C63591">
        <w:t>Response to Ministerial Direction No. 19</w:t>
      </w:r>
      <w:bookmarkEnd w:id="137"/>
    </w:p>
    <w:p w14:paraId="451E3171" w14:textId="622DF4F0" w:rsidR="001769D0" w:rsidRDefault="00113AE5" w:rsidP="003C090B">
      <w:pPr>
        <w:spacing w:line="259" w:lineRule="auto"/>
        <w:contextualSpacing w:val="0"/>
      </w:pPr>
      <w:bookmarkStart w:id="139" w:name="_Hlk121829642"/>
      <w:bookmarkEnd w:id="138"/>
      <w:r w:rsidRPr="00C13B94">
        <w:rPr>
          <w:sz w:val="20"/>
          <w:szCs w:val="28"/>
        </w:rPr>
        <w:t xml:space="preserve">The proposed amendment will not give rise to any impacts relating to human health or </w:t>
      </w:r>
      <w:r w:rsidR="00313A7D" w:rsidRPr="00C13B94">
        <w:rPr>
          <w:sz w:val="20"/>
          <w:szCs w:val="28"/>
        </w:rPr>
        <w:t>pollution</w:t>
      </w:r>
      <w:r w:rsidRPr="00C13B94">
        <w:rPr>
          <w:sz w:val="20"/>
          <w:szCs w:val="28"/>
        </w:rPr>
        <w:t xml:space="preserve">. The rezoning will simply ensure that the appropriate land use applies to the site. </w:t>
      </w:r>
      <w:bookmarkEnd w:id="139"/>
      <w:r w:rsidR="002B6021">
        <w:br w:type="page"/>
      </w:r>
      <w:bookmarkStart w:id="140" w:name="_Toc103201884"/>
    </w:p>
    <w:p w14:paraId="6D9A5EC2" w14:textId="741A4A70" w:rsidR="00C63591" w:rsidRDefault="00C63591" w:rsidP="002B6021">
      <w:pPr>
        <w:pStyle w:val="Heading1"/>
      </w:pPr>
      <w:bookmarkStart w:id="141" w:name="_Toc152146974"/>
      <w:r w:rsidRPr="00C63591">
        <w:lastRenderedPageBreak/>
        <w:t>Conclusion</w:t>
      </w:r>
      <w:bookmarkEnd w:id="140"/>
      <w:bookmarkEnd w:id="141"/>
    </w:p>
    <w:p w14:paraId="3555895A" w14:textId="681DA125" w:rsidR="00925006" w:rsidRPr="00C13B94" w:rsidRDefault="00445ADA" w:rsidP="003C090B">
      <w:pPr>
        <w:spacing w:line="259" w:lineRule="auto"/>
        <w:contextualSpacing w:val="0"/>
        <w:rPr>
          <w:sz w:val="20"/>
          <w:szCs w:val="28"/>
        </w:rPr>
      </w:pPr>
      <w:r w:rsidRPr="00C13B94">
        <w:rPr>
          <w:sz w:val="20"/>
          <w:szCs w:val="28"/>
        </w:rPr>
        <w:t xml:space="preserve">This </w:t>
      </w:r>
      <w:r w:rsidR="00E00B7F" w:rsidRPr="00C13B94">
        <w:rPr>
          <w:sz w:val="20"/>
          <w:szCs w:val="28"/>
        </w:rPr>
        <w:t>PSA</w:t>
      </w:r>
      <w:r w:rsidRPr="00C13B94">
        <w:rPr>
          <w:sz w:val="20"/>
          <w:szCs w:val="28"/>
        </w:rPr>
        <w:t xml:space="preserve"> proposed by </w:t>
      </w:r>
      <w:r w:rsidR="00AC07FF" w:rsidRPr="00C13B94">
        <w:rPr>
          <w:sz w:val="20"/>
          <w:szCs w:val="28"/>
        </w:rPr>
        <w:t xml:space="preserve">the </w:t>
      </w:r>
      <w:r w:rsidRPr="00C13B94">
        <w:rPr>
          <w:sz w:val="20"/>
          <w:szCs w:val="28"/>
        </w:rPr>
        <w:t>Electrical Trades Union (ETU) for the re-zoning of 200 Arden Street, and the proposed introduction of a specific Design and Development Plan Overlay (DDO)</w:t>
      </w:r>
      <w:r w:rsidR="00136DE0" w:rsidRPr="00C13B94">
        <w:rPr>
          <w:sz w:val="20"/>
          <w:szCs w:val="28"/>
        </w:rPr>
        <w:t>,</w:t>
      </w:r>
      <w:r w:rsidRPr="00C13B94">
        <w:rPr>
          <w:sz w:val="20"/>
          <w:szCs w:val="28"/>
        </w:rPr>
        <w:t xml:space="preserve"> will </w:t>
      </w:r>
      <w:r w:rsidR="004B3508" w:rsidRPr="00C13B94">
        <w:rPr>
          <w:sz w:val="20"/>
          <w:szCs w:val="28"/>
        </w:rPr>
        <w:t>better reflect the existing uses of the area, which currently consists of commercial uses at the site</w:t>
      </w:r>
      <w:r w:rsidR="00136DE0" w:rsidRPr="00C13B94">
        <w:rPr>
          <w:sz w:val="20"/>
          <w:szCs w:val="28"/>
        </w:rPr>
        <w:t xml:space="preserve">. </w:t>
      </w:r>
    </w:p>
    <w:p w14:paraId="112E7B7D" w14:textId="44543074" w:rsidR="00891FB1" w:rsidRPr="00C13B94" w:rsidRDefault="004B3508" w:rsidP="003C090B">
      <w:pPr>
        <w:spacing w:line="259" w:lineRule="auto"/>
        <w:contextualSpacing w:val="0"/>
        <w:rPr>
          <w:sz w:val="20"/>
          <w:szCs w:val="28"/>
        </w:rPr>
      </w:pPr>
      <w:r w:rsidRPr="00C13B94">
        <w:rPr>
          <w:sz w:val="20"/>
          <w:szCs w:val="28"/>
        </w:rPr>
        <w:t>The proposed amendments w</w:t>
      </w:r>
      <w:r w:rsidR="00DC6FE1" w:rsidRPr="00C13B94">
        <w:rPr>
          <w:sz w:val="20"/>
          <w:szCs w:val="28"/>
        </w:rPr>
        <w:t xml:space="preserve">ill </w:t>
      </w:r>
      <w:r w:rsidR="001967B2" w:rsidRPr="00C13B94">
        <w:rPr>
          <w:sz w:val="20"/>
          <w:szCs w:val="28"/>
        </w:rPr>
        <w:t xml:space="preserve">ensure the zoning accurately reflects the land use, </w:t>
      </w:r>
      <w:r w:rsidR="00891FB1" w:rsidRPr="00C13B94">
        <w:rPr>
          <w:sz w:val="20"/>
          <w:szCs w:val="28"/>
        </w:rPr>
        <w:t>ensur</w:t>
      </w:r>
      <w:r w:rsidR="001967B2" w:rsidRPr="00C13B94">
        <w:rPr>
          <w:sz w:val="20"/>
          <w:szCs w:val="28"/>
        </w:rPr>
        <w:t xml:space="preserve">ing </w:t>
      </w:r>
      <w:r w:rsidR="00891FB1" w:rsidRPr="00C13B94">
        <w:rPr>
          <w:sz w:val="20"/>
          <w:szCs w:val="28"/>
        </w:rPr>
        <w:t xml:space="preserve">that the site is contained within a more appropriate zone, which reflects the current operations while also safeguarding future residential amenity </w:t>
      </w:r>
      <w:r w:rsidR="00925006" w:rsidRPr="00C13B94">
        <w:rPr>
          <w:sz w:val="20"/>
          <w:szCs w:val="28"/>
        </w:rPr>
        <w:t>if</w:t>
      </w:r>
      <w:r w:rsidR="00891FB1" w:rsidRPr="00C13B94">
        <w:rPr>
          <w:sz w:val="20"/>
          <w:szCs w:val="28"/>
        </w:rPr>
        <w:t xml:space="preserve"> the site is subject to redevelopment by an alternative tenant or owner</w:t>
      </w:r>
      <w:r w:rsidR="00DC6FE1" w:rsidRPr="00C13B94">
        <w:rPr>
          <w:sz w:val="20"/>
          <w:szCs w:val="28"/>
        </w:rPr>
        <w:t xml:space="preserve"> in the future</w:t>
      </w:r>
      <w:r w:rsidR="00891FB1" w:rsidRPr="00C13B94">
        <w:rPr>
          <w:sz w:val="20"/>
          <w:szCs w:val="28"/>
        </w:rPr>
        <w:t>.</w:t>
      </w:r>
    </w:p>
    <w:p w14:paraId="4C5ECE19" w14:textId="76AC9AB2" w:rsidR="004B3508" w:rsidRPr="00C13B94" w:rsidRDefault="00891FB1" w:rsidP="003C090B">
      <w:pPr>
        <w:spacing w:line="259" w:lineRule="auto"/>
        <w:contextualSpacing w:val="0"/>
        <w:rPr>
          <w:sz w:val="20"/>
          <w:szCs w:val="28"/>
        </w:rPr>
      </w:pPr>
      <w:r w:rsidRPr="00C13B94">
        <w:rPr>
          <w:sz w:val="20"/>
          <w:szCs w:val="28"/>
        </w:rPr>
        <w:t>The PSA also p</w:t>
      </w:r>
      <w:r w:rsidR="004B3508" w:rsidRPr="00C13B94">
        <w:rPr>
          <w:sz w:val="20"/>
          <w:szCs w:val="28"/>
        </w:rPr>
        <w:t>rovide</w:t>
      </w:r>
      <w:r w:rsidRPr="00C13B94">
        <w:rPr>
          <w:sz w:val="20"/>
          <w:szCs w:val="28"/>
        </w:rPr>
        <w:t xml:space="preserve">s </w:t>
      </w:r>
      <w:r w:rsidR="004B3508" w:rsidRPr="00C13B94">
        <w:rPr>
          <w:sz w:val="20"/>
          <w:szCs w:val="28"/>
        </w:rPr>
        <w:t xml:space="preserve">an improved certainty of the potential development outcomes of the site to assist the ETU to effectively plan for the future of the site. This would facilitate the continued use of the site by the ETU to provide various services and facilities </w:t>
      </w:r>
      <w:r w:rsidR="00D77969" w:rsidRPr="00C13B94">
        <w:rPr>
          <w:sz w:val="20"/>
          <w:szCs w:val="28"/>
        </w:rPr>
        <w:t>that</w:t>
      </w:r>
      <w:r w:rsidR="004B3508" w:rsidRPr="00C13B94">
        <w:rPr>
          <w:sz w:val="20"/>
          <w:szCs w:val="28"/>
        </w:rPr>
        <w:t xml:space="preserve"> gain net community benefit for the wider area.  </w:t>
      </w:r>
    </w:p>
    <w:p w14:paraId="5BCFA147" w14:textId="77777777" w:rsidR="00445ADA" w:rsidRPr="003C090B" w:rsidRDefault="00445ADA" w:rsidP="003C090B">
      <w:pPr>
        <w:spacing w:line="259" w:lineRule="auto"/>
        <w:contextualSpacing w:val="0"/>
        <w:rPr>
          <w:sz w:val="20"/>
          <w:szCs w:val="28"/>
        </w:rPr>
      </w:pPr>
      <w:r w:rsidRPr="003C090B">
        <w:rPr>
          <w:sz w:val="20"/>
          <w:szCs w:val="28"/>
        </w:rPr>
        <w:t>The amendment should be supported as it:</w:t>
      </w:r>
    </w:p>
    <w:p w14:paraId="7B952272" w14:textId="68361712" w:rsidR="00B349BF" w:rsidRPr="003C090B" w:rsidRDefault="00B349BF" w:rsidP="003C090B">
      <w:pPr>
        <w:pStyle w:val="ESNumberedBullet1"/>
        <w:spacing w:before="120" w:line="280" w:lineRule="atLeast"/>
        <w:rPr>
          <w:sz w:val="20"/>
          <w:szCs w:val="28"/>
        </w:rPr>
      </w:pPr>
      <w:bookmarkStart w:id="142" w:name="_Hlk124331017"/>
      <w:r w:rsidRPr="003C090B">
        <w:rPr>
          <w:sz w:val="20"/>
          <w:szCs w:val="28"/>
        </w:rPr>
        <w:t xml:space="preserve">Addresses the requirements of all relevant Ministerial Directions including Ministerial Directions 1, 9, 11, 12 and 19. </w:t>
      </w:r>
    </w:p>
    <w:p w14:paraId="7E200160" w14:textId="16E8BB5A" w:rsidR="00B349BF" w:rsidRPr="003C090B" w:rsidRDefault="00B349BF" w:rsidP="003C090B">
      <w:pPr>
        <w:pStyle w:val="ESNumberedBullet1"/>
        <w:spacing w:before="120" w:line="280" w:lineRule="atLeast"/>
        <w:rPr>
          <w:sz w:val="20"/>
          <w:szCs w:val="28"/>
        </w:rPr>
      </w:pPr>
      <w:r w:rsidRPr="003C090B">
        <w:rPr>
          <w:sz w:val="20"/>
          <w:szCs w:val="28"/>
        </w:rPr>
        <w:t>Is consistent with the policy aspirations of the Melbourne Planning Scheme.</w:t>
      </w:r>
    </w:p>
    <w:p w14:paraId="276ACD2B" w14:textId="7DAF067B" w:rsidR="00AC150E" w:rsidRPr="003C090B" w:rsidRDefault="001967B2" w:rsidP="003C090B">
      <w:pPr>
        <w:pStyle w:val="ESNumberedBullet1"/>
        <w:spacing w:before="120" w:line="280" w:lineRule="atLeast"/>
        <w:rPr>
          <w:sz w:val="20"/>
          <w:szCs w:val="28"/>
        </w:rPr>
      </w:pPr>
      <w:r w:rsidRPr="003C090B">
        <w:rPr>
          <w:sz w:val="20"/>
          <w:szCs w:val="28"/>
        </w:rPr>
        <w:t xml:space="preserve">Ensures that the </w:t>
      </w:r>
      <w:r w:rsidR="00AC150E" w:rsidRPr="003C090B">
        <w:rPr>
          <w:sz w:val="20"/>
          <w:szCs w:val="28"/>
        </w:rPr>
        <w:t>Planning Scheme</w:t>
      </w:r>
      <w:r w:rsidRPr="003C090B">
        <w:rPr>
          <w:sz w:val="20"/>
          <w:szCs w:val="28"/>
        </w:rPr>
        <w:t xml:space="preserve"> accurately reflects the land uses undertaken at the site</w:t>
      </w:r>
      <w:r w:rsidR="003C090B" w:rsidRPr="003C090B">
        <w:rPr>
          <w:sz w:val="20"/>
          <w:szCs w:val="28"/>
        </w:rPr>
        <w:t xml:space="preserve">. </w:t>
      </w:r>
    </w:p>
    <w:p w14:paraId="72DF0764" w14:textId="2C0E751D" w:rsidR="00891FB1" w:rsidRPr="003C090B" w:rsidRDefault="00DC6FE1" w:rsidP="003C090B">
      <w:pPr>
        <w:pStyle w:val="ESNumberedBullet1"/>
        <w:spacing w:before="120" w:line="280" w:lineRule="atLeast"/>
        <w:rPr>
          <w:sz w:val="20"/>
          <w:szCs w:val="28"/>
        </w:rPr>
      </w:pPr>
      <w:r w:rsidRPr="003C090B">
        <w:rPr>
          <w:sz w:val="20"/>
          <w:szCs w:val="28"/>
        </w:rPr>
        <w:t xml:space="preserve">Utilises the MUZ as </w:t>
      </w:r>
      <w:r w:rsidR="00891FB1" w:rsidRPr="003C090B">
        <w:rPr>
          <w:sz w:val="20"/>
          <w:szCs w:val="28"/>
        </w:rPr>
        <w:t xml:space="preserve">the most appropriate zone, when compared with other residential and commercial zones. </w:t>
      </w:r>
    </w:p>
    <w:p w14:paraId="712B7C70" w14:textId="7C6D781B" w:rsidR="00891FB1" w:rsidRPr="003C090B" w:rsidRDefault="00891FB1" w:rsidP="003C090B">
      <w:pPr>
        <w:pStyle w:val="ESNumberedBullet1"/>
        <w:spacing w:before="120" w:line="280" w:lineRule="atLeast"/>
        <w:rPr>
          <w:sz w:val="20"/>
          <w:szCs w:val="28"/>
        </w:rPr>
      </w:pPr>
      <w:r w:rsidRPr="003C090B">
        <w:rPr>
          <w:sz w:val="20"/>
          <w:szCs w:val="28"/>
        </w:rPr>
        <w:t xml:space="preserve">Protects residential amenity and ensures that other land uses that could have </w:t>
      </w:r>
      <w:r w:rsidR="00B349BF" w:rsidRPr="003C090B">
        <w:rPr>
          <w:sz w:val="20"/>
          <w:szCs w:val="28"/>
        </w:rPr>
        <w:t xml:space="preserve">a </w:t>
      </w:r>
      <w:r w:rsidRPr="003C090B">
        <w:rPr>
          <w:sz w:val="20"/>
          <w:szCs w:val="28"/>
        </w:rPr>
        <w:t xml:space="preserve">potential negative impact would require an assessment through the permitting process. </w:t>
      </w:r>
    </w:p>
    <w:p w14:paraId="198F4FEA" w14:textId="315A482C" w:rsidR="00BA4F05" w:rsidRPr="003C090B" w:rsidRDefault="00771328" w:rsidP="003C090B">
      <w:pPr>
        <w:pStyle w:val="ESNumberedBullet1"/>
        <w:spacing w:before="120" w:line="280" w:lineRule="atLeast"/>
        <w:rPr>
          <w:sz w:val="20"/>
          <w:szCs w:val="28"/>
        </w:rPr>
      </w:pPr>
      <w:r w:rsidRPr="003C090B">
        <w:rPr>
          <w:sz w:val="20"/>
          <w:szCs w:val="28"/>
        </w:rPr>
        <w:t>Has no adverse impact on any surrounding land uses</w:t>
      </w:r>
      <w:r w:rsidR="00BA4F05" w:rsidRPr="003C090B">
        <w:rPr>
          <w:sz w:val="20"/>
          <w:szCs w:val="28"/>
        </w:rPr>
        <w:t xml:space="preserve"> </w:t>
      </w:r>
      <w:r w:rsidRPr="003C090B">
        <w:rPr>
          <w:sz w:val="20"/>
          <w:szCs w:val="28"/>
        </w:rPr>
        <w:t xml:space="preserve">and does not preclude the delivery </w:t>
      </w:r>
      <w:r w:rsidR="00BA4F05" w:rsidRPr="003C090B">
        <w:rPr>
          <w:sz w:val="20"/>
          <w:szCs w:val="28"/>
        </w:rPr>
        <w:t xml:space="preserve">of adjoining land for alternative uses. </w:t>
      </w:r>
    </w:p>
    <w:p w14:paraId="3BFB583A" w14:textId="5B15A99C" w:rsidR="00BA4F05" w:rsidRPr="003C090B" w:rsidRDefault="00BA4F05" w:rsidP="003C090B">
      <w:pPr>
        <w:pStyle w:val="ESNumberedBullet1"/>
        <w:spacing w:before="120" w:line="280" w:lineRule="atLeast"/>
        <w:rPr>
          <w:sz w:val="20"/>
          <w:szCs w:val="28"/>
        </w:rPr>
      </w:pPr>
      <w:r w:rsidRPr="003C090B">
        <w:rPr>
          <w:sz w:val="20"/>
          <w:szCs w:val="28"/>
        </w:rPr>
        <w:t xml:space="preserve">Will </w:t>
      </w:r>
      <w:r w:rsidR="006A1D57" w:rsidRPr="003C090B">
        <w:rPr>
          <w:sz w:val="20"/>
          <w:szCs w:val="28"/>
        </w:rPr>
        <w:t xml:space="preserve">be in an accessible area, which will benefit from enhanced connectivity to public transport once </w:t>
      </w:r>
      <w:r w:rsidRPr="003C090B">
        <w:rPr>
          <w:sz w:val="20"/>
          <w:szCs w:val="28"/>
        </w:rPr>
        <w:t xml:space="preserve">Arden Station is fully operational. </w:t>
      </w:r>
    </w:p>
    <w:p w14:paraId="5B98FDFB" w14:textId="302DBD55" w:rsidR="00BA4F05" w:rsidRPr="003C090B" w:rsidRDefault="00903153" w:rsidP="003C090B">
      <w:pPr>
        <w:pStyle w:val="ESNumberedBullet1"/>
        <w:spacing w:before="120" w:line="280" w:lineRule="atLeast"/>
        <w:rPr>
          <w:sz w:val="20"/>
          <w:szCs w:val="28"/>
        </w:rPr>
      </w:pPr>
      <w:r w:rsidRPr="003C090B">
        <w:rPr>
          <w:sz w:val="20"/>
          <w:szCs w:val="28"/>
        </w:rPr>
        <w:t xml:space="preserve">Can ensure that the built-form and design outcomes are controlled via the DDO, ensuring an appropriate response to the site and surrounding area. </w:t>
      </w:r>
    </w:p>
    <w:p w14:paraId="06E3B226" w14:textId="6D0535E3" w:rsidR="00B349BF" w:rsidRPr="003C090B" w:rsidRDefault="00B349BF" w:rsidP="003C090B">
      <w:pPr>
        <w:pStyle w:val="ESNumberedBullet1"/>
        <w:spacing w:before="120" w:line="280" w:lineRule="atLeast"/>
        <w:rPr>
          <w:sz w:val="20"/>
          <w:szCs w:val="28"/>
        </w:rPr>
      </w:pPr>
      <w:r w:rsidRPr="003C090B">
        <w:rPr>
          <w:sz w:val="20"/>
          <w:szCs w:val="28"/>
        </w:rPr>
        <w:t xml:space="preserve">Is supported from a heritage perspective and is an appropriate response to the Heritage Overlay (HO3). </w:t>
      </w:r>
    </w:p>
    <w:p w14:paraId="6FA6CB42" w14:textId="55CBCF7C" w:rsidR="00AC150E" w:rsidRPr="003C090B" w:rsidRDefault="00AC150E" w:rsidP="003C090B">
      <w:pPr>
        <w:pStyle w:val="ESNumberedBullet1"/>
        <w:spacing w:before="120" w:line="280" w:lineRule="atLeast"/>
        <w:rPr>
          <w:sz w:val="20"/>
          <w:szCs w:val="28"/>
        </w:rPr>
      </w:pPr>
      <w:r w:rsidRPr="003C090B">
        <w:rPr>
          <w:sz w:val="20"/>
          <w:szCs w:val="28"/>
        </w:rPr>
        <w:t>Will create far greater certainty for the ETU, which will ensure their expansion plans can be undertaken, which will bring significant benefits to local communities and employers.</w:t>
      </w:r>
    </w:p>
    <w:p w14:paraId="62269C88" w14:textId="387BFE0E" w:rsidR="00E826A5" w:rsidRPr="003C090B" w:rsidRDefault="00E826A5" w:rsidP="003C090B">
      <w:pPr>
        <w:pStyle w:val="ESNumberedBullet1"/>
        <w:spacing w:before="120" w:line="280" w:lineRule="atLeast"/>
        <w:rPr>
          <w:sz w:val="20"/>
          <w:szCs w:val="28"/>
        </w:rPr>
      </w:pPr>
      <w:r w:rsidRPr="003C090B">
        <w:rPr>
          <w:sz w:val="20"/>
          <w:szCs w:val="28"/>
        </w:rPr>
        <w:t xml:space="preserve">Will ensure that the built-form outcomes are </w:t>
      </w:r>
      <w:r w:rsidR="00A70960" w:rsidRPr="003C090B">
        <w:rPr>
          <w:sz w:val="20"/>
          <w:szCs w:val="28"/>
        </w:rPr>
        <w:t>consistent with the Arden Street Precinct context</w:t>
      </w:r>
      <w:r w:rsidRPr="003C090B">
        <w:rPr>
          <w:sz w:val="20"/>
          <w:szCs w:val="28"/>
        </w:rPr>
        <w:t xml:space="preserve"> and add to the qualities of the Melbourne Mills Building. </w:t>
      </w:r>
    </w:p>
    <w:p w14:paraId="3FFA8882" w14:textId="3E7AF3E1" w:rsidR="00445ADA" w:rsidRPr="00C13B94" w:rsidRDefault="00E826A5" w:rsidP="00B229E7">
      <w:pPr>
        <w:pStyle w:val="ESNumberedBullet1"/>
        <w:spacing w:before="120" w:line="280" w:lineRule="atLeast"/>
        <w:rPr>
          <w:sz w:val="20"/>
          <w:szCs w:val="28"/>
        </w:rPr>
      </w:pPr>
      <w:r w:rsidRPr="00B229E7">
        <w:rPr>
          <w:sz w:val="20"/>
          <w:szCs w:val="28"/>
        </w:rPr>
        <w:t xml:space="preserve">Will ensure that there would be no detrimental impact on the adjacent premises and sensitive interfaces. </w:t>
      </w:r>
      <w:bookmarkEnd w:id="142"/>
      <w:r w:rsidR="00445ADA" w:rsidRPr="00C13B94">
        <w:rPr>
          <w:sz w:val="20"/>
          <w:szCs w:val="28"/>
        </w:rPr>
        <w:t xml:space="preserve">Accordingly, the </w:t>
      </w:r>
      <w:r w:rsidR="00E00B7F" w:rsidRPr="00C13B94">
        <w:rPr>
          <w:sz w:val="20"/>
          <w:szCs w:val="28"/>
        </w:rPr>
        <w:t>PSA</w:t>
      </w:r>
      <w:r w:rsidR="00445ADA" w:rsidRPr="00C13B94">
        <w:rPr>
          <w:sz w:val="20"/>
          <w:szCs w:val="28"/>
        </w:rPr>
        <w:t xml:space="preserve"> is strategically justified, is consistent with State and local planning policy and warrants support. </w:t>
      </w:r>
    </w:p>
    <w:p w14:paraId="1E067F02" w14:textId="77777777" w:rsidR="00445ADA" w:rsidRPr="00445ADA" w:rsidRDefault="00445ADA" w:rsidP="00445ADA"/>
    <w:p w14:paraId="6A64F4A6" w14:textId="0296067F" w:rsidR="009F2FE3" w:rsidRDefault="00AB60F1" w:rsidP="00AB60F1">
      <w:pPr>
        <w:spacing w:line="259" w:lineRule="auto"/>
        <w:contextualSpacing w:val="0"/>
      </w:pPr>
      <w:bookmarkStart w:id="143" w:name="_Toc86262131"/>
      <w:bookmarkStart w:id="144" w:name="_Toc103201475"/>
      <w:r>
        <w:br w:type="page"/>
      </w:r>
    </w:p>
    <w:p w14:paraId="13F2DA92" w14:textId="4C2AAC2C" w:rsidR="00C63591" w:rsidRDefault="00C63591" w:rsidP="00221305">
      <w:pPr>
        <w:pStyle w:val="AppendixHeading1"/>
      </w:pPr>
      <w:bookmarkStart w:id="145" w:name="_Toc152142092"/>
      <w:r w:rsidRPr="00C63591">
        <w:lastRenderedPageBreak/>
        <w:t xml:space="preserve">Illustrative </w:t>
      </w:r>
      <w:bookmarkEnd w:id="143"/>
      <w:bookmarkEnd w:id="144"/>
      <w:r w:rsidR="000549F8">
        <w:t>Built Form Outcome</w:t>
      </w:r>
      <w:r w:rsidR="006655EF">
        <w:t>s</w:t>
      </w:r>
      <w:bookmarkEnd w:id="145"/>
    </w:p>
    <w:p w14:paraId="33FF7F59" w14:textId="77777777" w:rsidR="00C63591" w:rsidRPr="00C63591" w:rsidRDefault="00C63591" w:rsidP="00C63591">
      <w:pPr>
        <w:pStyle w:val="Heading1NoNumbers"/>
      </w:pPr>
      <w:r w:rsidRPr="00C63591">
        <w:br w:type="page"/>
      </w:r>
    </w:p>
    <w:p w14:paraId="189FB5D3" w14:textId="265AFEC4" w:rsidR="006655EF" w:rsidRDefault="000549F8" w:rsidP="006655EF">
      <w:pPr>
        <w:pStyle w:val="AppendixHeading1"/>
      </w:pPr>
      <w:bookmarkStart w:id="146" w:name="_Toc86262134"/>
      <w:bookmarkStart w:id="147" w:name="_Toc103201478"/>
      <w:bookmarkStart w:id="148" w:name="_Toc152142093"/>
      <w:r>
        <w:lastRenderedPageBreak/>
        <w:t>D</w:t>
      </w:r>
      <w:r w:rsidR="00C63591" w:rsidRPr="00C63591">
        <w:t xml:space="preserve">raft </w:t>
      </w:r>
      <w:bookmarkEnd w:id="146"/>
      <w:bookmarkEnd w:id="147"/>
      <w:r>
        <w:t>Design and Development Overlay (DDO)</w:t>
      </w:r>
      <w:r w:rsidR="00C173BD">
        <w:t xml:space="preserve"> Schedule 84</w:t>
      </w:r>
      <w:bookmarkEnd w:id="148"/>
    </w:p>
    <w:p w14:paraId="0BEC5F33" w14:textId="77777777" w:rsidR="006655EF" w:rsidRDefault="006655EF">
      <w:pPr>
        <w:spacing w:line="259" w:lineRule="auto"/>
        <w:contextualSpacing w:val="0"/>
        <w:rPr>
          <w:rFonts w:asciiTheme="majorHAnsi" w:eastAsiaTheme="majorEastAsia" w:hAnsiTheme="majorHAnsi" w:cstheme="majorBidi"/>
          <w:color w:val="0C008E" w:themeColor="text2"/>
          <w:sz w:val="36"/>
          <w:szCs w:val="32"/>
        </w:rPr>
      </w:pPr>
      <w:r>
        <w:br w:type="page"/>
      </w:r>
    </w:p>
    <w:p w14:paraId="2384ADDC" w14:textId="786B5411" w:rsidR="006655EF" w:rsidRDefault="006655EF" w:rsidP="006655EF">
      <w:pPr>
        <w:pStyle w:val="AppendixHeading1"/>
      </w:pPr>
      <w:bookmarkStart w:id="149" w:name="_Toc152142094"/>
      <w:r>
        <w:lastRenderedPageBreak/>
        <w:t>200 Arden Street – Built Form Testing Map</w:t>
      </w:r>
      <w:bookmarkEnd w:id="149"/>
    </w:p>
    <w:p w14:paraId="48851925" w14:textId="77777777" w:rsidR="006655EF" w:rsidRDefault="006655EF">
      <w:pPr>
        <w:spacing w:line="259" w:lineRule="auto"/>
        <w:contextualSpacing w:val="0"/>
        <w:rPr>
          <w:rFonts w:asciiTheme="majorHAnsi" w:eastAsiaTheme="majorEastAsia" w:hAnsiTheme="majorHAnsi" w:cstheme="majorBidi"/>
          <w:color w:val="0C008E" w:themeColor="text2"/>
          <w:sz w:val="36"/>
          <w:szCs w:val="32"/>
        </w:rPr>
      </w:pPr>
      <w:r>
        <w:br w:type="page"/>
      </w:r>
    </w:p>
    <w:p w14:paraId="04D19C71" w14:textId="1BA6AC1F" w:rsidR="00EB7FCF" w:rsidRDefault="006655EF" w:rsidP="006655EF">
      <w:pPr>
        <w:pStyle w:val="AppendixHeading1"/>
      </w:pPr>
      <w:bookmarkStart w:id="150" w:name="_Toc152142095"/>
      <w:r>
        <w:lastRenderedPageBreak/>
        <w:t>Letter of Support prepared by Trethowan Architecture</w:t>
      </w:r>
      <w:bookmarkEnd w:id="150"/>
    </w:p>
    <w:p w14:paraId="6425D0D7" w14:textId="77777777" w:rsidR="00EB7FCF" w:rsidRDefault="00EB7FCF">
      <w:pPr>
        <w:spacing w:line="259" w:lineRule="auto"/>
        <w:contextualSpacing w:val="0"/>
        <w:rPr>
          <w:rFonts w:asciiTheme="majorHAnsi" w:eastAsiaTheme="majorEastAsia" w:hAnsiTheme="majorHAnsi" w:cstheme="majorBidi"/>
          <w:color w:val="0C008E" w:themeColor="text2"/>
          <w:sz w:val="36"/>
          <w:szCs w:val="32"/>
        </w:rPr>
      </w:pPr>
      <w:r>
        <w:br w:type="page"/>
      </w:r>
    </w:p>
    <w:p w14:paraId="077B2E2A" w14:textId="7E928D22" w:rsidR="006655EF" w:rsidRPr="006655EF" w:rsidRDefault="00EB7FCF" w:rsidP="006655EF">
      <w:pPr>
        <w:pStyle w:val="AppendixHeading1"/>
      </w:pPr>
      <w:bookmarkStart w:id="151" w:name="_Toc152142096"/>
      <w:r>
        <w:lastRenderedPageBreak/>
        <w:t xml:space="preserve">DDO84 </w:t>
      </w:r>
      <w:r w:rsidRPr="00EB7FCF">
        <w:t>Site Map</w:t>
      </w:r>
      <w:bookmarkEnd w:id="151"/>
    </w:p>
    <w:p w14:paraId="279E2B73" w14:textId="058B0D6A" w:rsidR="009B0429" w:rsidRDefault="009B0429" w:rsidP="002B6021"/>
    <w:sectPr w:rsidR="009B0429" w:rsidSect="002051EA">
      <w:headerReference w:type="default" r:id="rId34"/>
      <w:footerReference w:type="default" r:id="rId35"/>
      <w:pgSz w:w="11906" w:h="16838" w:code="9"/>
      <w:pgMar w:top="1134" w:right="851" w:bottom="1134" w:left="85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F41BD" w14:textId="77777777" w:rsidR="00A74AC6" w:rsidRDefault="00A74AC6" w:rsidP="00143A59">
      <w:pPr>
        <w:spacing w:after="0" w:line="240" w:lineRule="auto"/>
      </w:pPr>
      <w:r>
        <w:separator/>
      </w:r>
    </w:p>
  </w:endnote>
  <w:endnote w:type="continuationSeparator" w:id="0">
    <w:p w14:paraId="453A202F" w14:textId="77777777" w:rsidR="00A74AC6" w:rsidRDefault="00A74AC6" w:rsidP="00143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ofia Pro Light">
    <w:altName w:val="Calibri"/>
    <w:panose1 w:val="00000000000000000000"/>
    <w:charset w:val="00"/>
    <w:family w:val="modern"/>
    <w:notTrueType/>
    <w:pitch w:val="variable"/>
    <w:sig w:usb0="A00002AF" w:usb1="5000004B" w:usb2="00000000" w:usb3="00000000" w:csb0="0000019F" w:csb1="00000000"/>
  </w:font>
  <w:font w:name="Montserrat Light">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tserrat Medium">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206"/>
    </w:tblGrid>
    <w:tr w:rsidR="00CE54CF" w14:paraId="5D94EBBB" w14:textId="77777777" w:rsidTr="004F32B6">
      <w:trPr>
        <w:jc w:val="right"/>
      </w:trPr>
      <w:tc>
        <w:tcPr>
          <w:tcW w:w="5000" w:type="pct"/>
          <w:shd w:val="clear" w:color="auto" w:fill="auto"/>
        </w:tcPr>
        <w:p w14:paraId="0B0BC518" w14:textId="4E76541F" w:rsidR="00CE54CF" w:rsidRDefault="00CD2012" w:rsidP="00DC3AAB">
          <w:pPr>
            <w:pStyle w:val="Footer"/>
            <w:jc w:val="right"/>
          </w:pPr>
          <w:r>
            <w:fldChar w:fldCharType="begin"/>
          </w:r>
          <w:r>
            <w:instrText xml:space="preserve"> DOCPROPERTY  ETHOS_CoverDate </w:instrText>
          </w:r>
          <w:r>
            <w:fldChar w:fldCharType="separate"/>
          </w:r>
          <w:r w:rsidR="007F66EC">
            <w:t>&lt;&lt;</w:t>
          </w:r>
          <w:proofErr w:type="spellStart"/>
          <w:r w:rsidR="007F66EC">
            <w:t>CoverDate</w:t>
          </w:r>
          <w:proofErr w:type="spellEnd"/>
          <w:r w:rsidR="007F66EC">
            <w:t>&gt;&gt;</w:t>
          </w:r>
          <w:r>
            <w:fldChar w:fldCharType="end"/>
          </w:r>
          <w:r w:rsidR="00CE54CF">
            <w:t xml:space="preserve"> </w:t>
          </w:r>
          <w:r w:rsidR="00CE54CF" w:rsidRPr="00DC3AAB">
            <w:rPr>
              <w:b/>
              <w:bCs/>
            </w:rPr>
            <w:t>|</w:t>
          </w:r>
          <w:r w:rsidR="00CE54CF">
            <w:t xml:space="preserve"> </w:t>
          </w:r>
          <w:fldSimple w:instr=" DOCPROPERTY  ETHOS_Title1 ">
            <w:r w:rsidR="007F66EC">
              <w:t>&lt;&lt;Title1&gt;&gt;</w:t>
            </w:r>
          </w:fldSimple>
          <w:r w:rsidR="00CE54CF">
            <w:t xml:space="preserve"> </w:t>
          </w:r>
          <w:r w:rsidR="00CE54CF" w:rsidRPr="00DC3AAB">
            <w:rPr>
              <w:b/>
              <w:bCs/>
            </w:rPr>
            <w:t>|</w:t>
          </w:r>
          <w:r w:rsidR="00CE54CF">
            <w:t xml:space="preserve"> </w:t>
          </w:r>
          <w:r>
            <w:fldChar w:fldCharType="begin"/>
          </w:r>
          <w:r>
            <w:instrText xml:space="preserve"> DOCPROPERTY  ETHOS_ProjAddress </w:instrText>
          </w:r>
          <w:r>
            <w:fldChar w:fldCharType="separate"/>
          </w:r>
          <w:r w:rsidR="007F66EC">
            <w:t>&lt;&lt;</w:t>
          </w:r>
          <w:proofErr w:type="spellStart"/>
          <w:r w:rsidR="007F66EC">
            <w:t>ProjAddress</w:t>
          </w:r>
          <w:proofErr w:type="spellEnd"/>
          <w:r w:rsidR="007F66EC">
            <w:t>&gt;&gt;</w:t>
          </w:r>
          <w:r>
            <w:fldChar w:fldCharType="end"/>
          </w:r>
          <w:r w:rsidR="00CE54CF">
            <w:t xml:space="preserve">  </w:t>
          </w:r>
          <w:r w:rsidR="00CE54CF" w:rsidRPr="00DC3AAB">
            <w:rPr>
              <w:b/>
              <w:bCs/>
            </w:rPr>
            <w:t>|</w:t>
          </w:r>
          <w:r w:rsidR="00CE54CF">
            <w:t xml:space="preserve">  </w:t>
          </w:r>
          <w:r w:rsidR="00CE54CF">
            <w:fldChar w:fldCharType="begin"/>
          </w:r>
          <w:r w:rsidR="00CE54CF">
            <w:instrText xml:space="preserve"> PAGE  \* Arabic  </w:instrText>
          </w:r>
          <w:r w:rsidR="00CE54CF">
            <w:fldChar w:fldCharType="separate"/>
          </w:r>
          <w:r w:rsidR="00CE54CF">
            <w:t>24</w:t>
          </w:r>
          <w:r w:rsidR="00CE54CF">
            <w:fldChar w:fldCharType="end"/>
          </w:r>
          <w:r w:rsidR="00CE54CF">
            <w:t xml:space="preserve">    </w:t>
          </w:r>
        </w:p>
      </w:tc>
    </w:tr>
  </w:tbl>
  <w:p w14:paraId="35243FBF" w14:textId="77777777" w:rsidR="00E74DE7" w:rsidRPr="004D55BC" w:rsidRDefault="00E74DE7" w:rsidP="004D5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4A0" w:firstRow="1" w:lastRow="0" w:firstColumn="1" w:lastColumn="0" w:noHBand="0" w:noVBand="1"/>
    </w:tblPr>
    <w:tblGrid>
      <w:gridCol w:w="2268"/>
      <w:gridCol w:w="3682"/>
      <w:gridCol w:w="4240"/>
    </w:tblGrid>
    <w:tr w:rsidR="00CE54CF" w14:paraId="785AFA64" w14:textId="77777777" w:rsidTr="001D2146">
      <w:trPr>
        <w:trHeight w:val="2381"/>
      </w:trPr>
      <w:tc>
        <w:tcPr>
          <w:tcW w:w="2268" w:type="dxa"/>
          <w:vAlign w:val="bottom"/>
        </w:tcPr>
        <w:p w14:paraId="3A182825" w14:textId="77777777" w:rsidR="00CE54CF" w:rsidRDefault="00CE54CF" w:rsidP="00D97188">
          <w:pPr>
            <w:pStyle w:val="Footer"/>
          </w:pPr>
          <w:bookmarkStart w:id="0" w:name="_Hlk97747003"/>
          <w:bookmarkStart w:id="1" w:name="_Hlk97747004"/>
          <w:bookmarkStart w:id="2" w:name="_Hlk97747005"/>
          <w:bookmarkStart w:id="3" w:name="_Hlk97747006"/>
          <w:r>
            <w:rPr>
              <w:noProof/>
            </w:rPr>
            <w:drawing>
              <wp:inline distT="0" distB="0" distL="0" distR="0" wp14:anchorId="4339FD40" wp14:editId="22B5487C">
                <wp:extent cx="1078994" cy="399289"/>
                <wp:effectExtent l="0" t="0" r="6985" b="1270"/>
                <wp:docPr id="1422152681" name="Picture 1422152681" descr="A picture containing text, tableware, clipart,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text, tableware, clipart, plat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78994" cy="399289"/>
                        </a:xfrm>
                        <a:prstGeom prst="rect">
                          <a:avLst/>
                        </a:prstGeom>
                      </pic:spPr>
                    </pic:pic>
                  </a:graphicData>
                </a:graphic>
              </wp:inline>
            </w:drawing>
          </w:r>
        </w:p>
      </w:tc>
      <w:tc>
        <w:tcPr>
          <w:tcW w:w="3682" w:type="dxa"/>
          <w:vAlign w:val="bottom"/>
        </w:tcPr>
        <w:p w14:paraId="4BC8E018" w14:textId="47F19B24" w:rsidR="00CE54CF" w:rsidRDefault="00CE54CF" w:rsidP="00C6484E">
          <w:pPr>
            <w:pStyle w:val="Footer"/>
            <w:spacing w:after="0"/>
          </w:pPr>
        </w:p>
      </w:tc>
      <w:tc>
        <w:tcPr>
          <w:tcW w:w="4240" w:type="dxa"/>
          <w:vAlign w:val="bottom"/>
        </w:tcPr>
        <w:p w14:paraId="7449CB96" w14:textId="1EDCFAD0" w:rsidR="00CE54CF" w:rsidRPr="002E567F" w:rsidRDefault="00CE54CF" w:rsidP="002E567F">
          <w:pPr>
            <w:pStyle w:val="CoverDetail"/>
            <w:rPr>
              <w:color w:val="auto"/>
              <w:sz w:val="17"/>
              <w:lang w:val="en-US"/>
            </w:rPr>
          </w:pPr>
          <w:r>
            <w:t>Prepared by Ethos Urban</w:t>
          </w:r>
          <w:r>
            <w:br/>
            <w:t xml:space="preserve">Submitted </w:t>
          </w:r>
          <w:r w:rsidR="00C6484E">
            <w:t>for</w:t>
          </w:r>
          <w:r>
            <w:t xml:space="preserve"> </w:t>
          </w:r>
          <w:sdt>
            <w:sdtPr>
              <w:rPr>
                <w:lang w:val="en-US"/>
              </w:rPr>
              <w:alias w:val="GLOBAL_ClientName"/>
              <w:tag w:val="GLOBAL_ClientName"/>
              <w:id w:val="772755822"/>
              <w:placeholder>
                <w:docPart w:val="6CB73B92CD60480EAB5349E25EEBBA6F"/>
              </w:placeholder>
              <w:dataBinding w:prefixMappings="xmlns:ns0='http://Greg_Maxey/CC_Mapping_Part'" w:xpath="/ns0:CC_Map_Root[1]/ns0:GLOBAL_ClientName[1]" w:storeItemID="{603E7D31-AE21-4067-BC99-39108952EC29}"/>
              <w:text w:multiLine="1"/>
            </w:sdtPr>
            <w:sdtEndPr/>
            <w:sdtContent>
              <w:r w:rsidR="001F3F5F">
                <w:rPr>
                  <w:lang w:val="en-US"/>
                </w:rPr>
                <w:t>Electrical Trade Union</w:t>
              </w:r>
            </w:sdtContent>
          </w:sdt>
        </w:p>
        <w:p w14:paraId="4E1435A6" w14:textId="542B2659" w:rsidR="00CE54CF" w:rsidRDefault="006D150E" w:rsidP="00D97188">
          <w:pPr>
            <w:pStyle w:val="DocDate"/>
          </w:pPr>
          <w:sdt>
            <w:sdtPr>
              <w:alias w:val="GLOBAL_CoverDate"/>
              <w:tag w:val="GLOBAL_CoverDate"/>
              <w:id w:val="465640236"/>
              <w:placeholder>
                <w:docPart w:val="532D940A27664E1CBEDE21E264FFA651"/>
              </w:placeholder>
              <w:dataBinding w:prefixMappings="xmlns:ns0='http://Greg_Maxey/CC_Mapping_Part'" w:xpath="/ns0:CC_Map_Root[1]/ns0:GLOBAL_CoverDate[1]" w:storeItemID="{603E7D31-AE21-4067-BC99-39108952EC29}"/>
              <w:date w:fullDate="2024-06-03T00:00:00Z">
                <w:dateFormat w:val="d MMMM yyyy"/>
                <w:lid w:val="en-AU"/>
                <w:storeMappedDataAs w:val="dateTime"/>
                <w:calendar w:val="gregorian"/>
              </w:date>
            </w:sdtPr>
            <w:sdtEndPr/>
            <w:sdtContent>
              <w:r w:rsidR="002051EA">
                <w:t>3 June 2024</w:t>
              </w:r>
            </w:sdtContent>
          </w:sdt>
          <w:r w:rsidR="00B3141E" w:rsidRPr="006A1D57">
            <w:t xml:space="preserve"> </w:t>
          </w:r>
          <w:r w:rsidR="00CE54CF" w:rsidRPr="006A1D57">
            <w:t xml:space="preserve">| </w:t>
          </w:r>
          <w:sdt>
            <w:sdtPr>
              <w:alias w:val="GLOBAL_ProjNumber"/>
              <w:tag w:val="GLOBAL_ProjNumber"/>
              <w:id w:val="-583300556"/>
              <w:placeholder>
                <w:docPart w:val="50A4C8055C9F49999C4D46090131A877"/>
              </w:placeholder>
              <w:dataBinding w:prefixMappings="xmlns:ns0='http://Greg_Maxey/CC_Mapping_Part'" w:xpath="/ns0:CC_Map_Root[1]/ns0:GLOBAL_ProjNumber[1]" w:storeItemID="{603E7D31-AE21-4067-BC99-39108952EC29}"/>
              <w:text/>
            </w:sdtPr>
            <w:sdtEndPr/>
            <w:sdtContent>
              <w:r w:rsidR="00A74AC6" w:rsidRPr="006A1D57">
                <w:t>3190353</w:t>
              </w:r>
            </w:sdtContent>
          </w:sdt>
        </w:p>
      </w:tc>
    </w:tr>
    <w:tr w:rsidR="00CE54CF" w14:paraId="2A7ED137" w14:textId="77777777" w:rsidTr="001D2146">
      <w:trPr>
        <w:trHeight w:val="397"/>
      </w:trPr>
      <w:tc>
        <w:tcPr>
          <w:tcW w:w="2268" w:type="dxa"/>
          <w:vAlign w:val="bottom"/>
        </w:tcPr>
        <w:p w14:paraId="5544CD68" w14:textId="77777777" w:rsidR="00CE54CF" w:rsidRDefault="00CE54CF" w:rsidP="00D97188">
          <w:pPr>
            <w:pStyle w:val="Footer"/>
            <w:rPr>
              <w:noProof/>
            </w:rPr>
          </w:pPr>
        </w:p>
      </w:tc>
      <w:tc>
        <w:tcPr>
          <w:tcW w:w="3682" w:type="dxa"/>
          <w:vAlign w:val="bottom"/>
        </w:tcPr>
        <w:p w14:paraId="4B88EB05" w14:textId="77777777" w:rsidR="00CE54CF" w:rsidRDefault="00CE54CF" w:rsidP="00D97188">
          <w:pPr>
            <w:pStyle w:val="Footer"/>
            <w:rPr>
              <w:noProof/>
              <w:lang w:val="en-US"/>
            </w:rPr>
          </w:pPr>
        </w:p>
      </w:tc>
      <w:tc>
        <w:tcPr>
          <w:tcW w:w="4240" w:type="dxa"/>
          <w:vAlign w:val="bottom"/>
        </w:tcPr>
        <w:p w14:paraId="5EACE94B" w14:textId="77777777" w:rsidR="00CE54CF" w:rsidRDefault="00CE54CF" w:rsidP="00D97188">
          <w:pPr>
            <w:pStyle w:val="DocDetails"/>
          </w:pPr>
        </w:p>
      </w:tc>
    </w:tr>
    <w:bookmarkEnd w:id="0"/>
    <w:bookmarkEnd w:id="1"/>
    <w:bookmarkEnd w:id="2"/>
    <w:bookmarkEnd w:id="3"/>
  </w:tbl>
  <w:p w14:paraId="5E2D0531" w14:textId="77777777" w:rsidR="00E74DE7" w:rsidRDefault="00E74D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9FF5F" w14:textId="77777777" w:rsidR="00CE54CF" w:rsidRPr="004D55BC" w:rsidRDefault="00CE54CF" w:rsidP="004D55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6A39" w14:textId="77777777" w:rsidR="00CE54CF" w:rsidRDefault="00CE54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0206"/>
    </w:tblGrid>
    <w:tr w:rsidR="004F32B6" w14:paraId="05341716" w14:textId="77777777" w:rsidTr="004F32B6">
      <w:trPr>
        <w:jc w:val="right"/>
      </w:trPr>
      <w:tc>
        <w:tcPr>
          <w:tcW w:w="5000" w:type="pct"/>
          <w:shd w:val="clear" w:color="auto" w:fill="auto"/>
        </w:tcPr>
        <w:p w14:paraId="6EC48BCD" w14:textId="41EBB7F2" w:rsidR="004F32B6" w:rsidRDefault="002051EA" w:rsidP="00DC3AAB">
          <w:pPr>
            <w:pStyle w:val="Footer"/>
            <w:jc w:val="right"/>
          </w:pPr>
          <w:r>
            <w:t>June 2024</w:t>
          </w:r>
          <w:r w:rsidR="008B4914">
            <w:t xml:space="preserve"> </w:t>
          </w:r>
          <w:r w:rsidR="00230351" w:rsidRPr="009134DC">
            <w:rPr>
              <w:b/>
              <w:bCs/>
              <w:color w:val="0C008E" w:themeColor="text2"/>
            </w:rPr>
            <w:t>|</w:t>
          </w:r>
          <w:r w:rsidR="00230351">
            <w:t xml:space="preserve"> </w:t>
          </w:r>
          <w:r w:rsidR="008B4914">
            <w:t>Planning Scheme Amendment Request</w:t>
          </w:r>
          <w:r w:rsidR="00230351">
            <w:t xml:space="preserve"> </w:t>
          </w:r>
          <w:r w:rsidR="00230351" w:rsidRPr="009134DC">
            <w:rPr>
              <w:b/>
              <w:bCs/>
              <w:color w:val="0C008E" w:themeColor="text2"/>
            </w:rPr>
            <w:t>|</w:t>
          </w:r>
          <w:r w:rsidR="00230351">
            <w:t xml:space="preserve"> </w:t>
          </w:r>
          <w:r w:rsidR="008B4914">
            <w:t>200 Arden Street, North Melbourne</w:t>
          </w:r>
          <w:r w:rsidR="00230351">
            <w:t xml:space="preserve"> </w:t>
          </w:r>
          <w:r w:rsidR="00230351" w:rsidRPr="009134DC">
            <w:rPr>
              <w:b/>
              <w:bCs/>
              <w:color w:val="0C008E" w:themeColor="text2"/>
            </w:rPr>
            <w:t>|</w:t>
          </w:r>
          <w:r w:rsidR="00230351">
            <w:t xml:space="preserve">  </w:t>
          </w:r>
          <w:r w:rsidR="00230351">
            <w:fldChar w:fldCharType="begin"/>
          </w:r>
          <w:r w:rsidR="00230351">
            <w:instrText xml:space="preserve"> PAGE  \* Arabic  </w:instrText>
          </w:r>
          <w:r w:rsidR="00230351">
            <w:fldChar w:fldCharType="separate"/>
          </w:r>
          <w:r w:rsidR="00230351">
            <w:t>24</w:t>
          </w:r>
          <w:r w:rsidR="00230351">
            <w:fldChar w:fldCharType="end"/>
          </w:r>
          <w:r w:rsidR="00230351">
            <w:t xml:space="preserve">    </w:t>
          </w:r>
        </w:p>
      </w:tc>
    </w:tr>
  </w:tbl>
  <w:p w14:paraId="3A6651C7" w14:textId="77777777" w:rsidR="004F32B6" w:rsidRPr="004D55BC" w:rsidRDefault="004F32B6" w:rsidP="004D5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B3C1A" w14:textId="77777777" w:rsidR="00A74AC6" w:rsidRDefault="00A74AC6" w:rsidP="00143A59">
      <w:pPr>
        <w:spacing w:after="0" w:line="240" w:lineRule="auto"/>
      </w:pPr>
      <w:r>
        <w:separator/>
      </w:r>
    </w:p>
  </w:footnote>
  <w:footnote w:type="continuationSeparator" w:id="0">
    <w:p w14:paraId="44DBE923" w14:textId="77777777" w:rsidR="00A74AC6" w:rsidRDefault="00A74AC6" w:rsidP="00143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64EA" w14:textId="77777777" w:rsidR="00E74DE7" w:rsidRDefault="00CE54CF">
    <w:pPr>
      <w:pStyle w:val="Header"/>
    </w:pPr>
    <w:r w:rsidRPr="00A1402C">
      <w:rPr>
        <w:rFonts w:ascii="Arial" w:eastAsia="Arial" w:hAnsi="Arial" w:cs="Times New Roman"/>
        <w:noProof/>
        <w:sz w:val="18"/>
        <w:lang w:val="en-US"/>
      </w:rPr>
      <w:drawing>
        <wp:anchor distT="0" distB="0" distL="114300" distR="114300" simplePos="0" relativeHeight="251659264" behindDoc="1" locked="0" layoutInCell="1" allowOverlap="1" wp14:anchorId="232E686D" wp14:editId="4668F2DE">
          <wp:simplePos x="0" y="0"/>
          <wp:positionH relativeFrom="margin">
            <wp:posOffset>-534035</wp:posOffset>
          </wp:positionH>
          <wp:positionV relativeFrom="page">
            <wp:posOffset>3810</wp:posOffset>
          </wp:positionV>
          <wp:extent cx="7558405" cy="10691495"/>
          <wp:effectExtent l="0" t="0" r="4445" b="0"/>
          <wp:wrapNone/>
          <wp:docPr id="1673085840" name="Picture 167308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7135" w14:textId="77777777" w:rsidR="00CE54CF" w:rsidRDefault="00CE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44C9B" w14:textId="77777777" w:rsidR="00CE54CF" w:rsidRDefault="00CE5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22CE5" w14:textId="77777777" w:rsidR="002661BB" w:rsidRDefault="002661BB" w:rsidP="002661BB">
    <w:pPr>
      <w:pStyle w:val="Header"/>
    </w:pPr>
  </w:p>
  <w:p w14:paraId="7BD13051" w14:textId="77777777" w:rsidR="002661BB" w:rsidRPr="007C57A8" w:rsidRDefault="002661BB" w:rsidP="002661BB">
    <w:pPr>
      <w:pStyle w:val="Header"/>
    </w:pPr>
  </w:p>
  <w:p w14:paraId="23379F8B" w14:textId="6364B88E" w:rsidR="002661BB" w:rsidRPr="007C57A8" w:rsidRDefault="002661BB" w:rsidP="002661BB">
    <w:pPr>
      <w:pStyle w:val="TOCHeading"/>
      <w:spacing w:before="100"/>
    </w:pPr>
    <w:r>
      <w:t>Contents</w:t>
    </w:r>
    <w:r w:rsidRPr="007C57A8">
      <w:rPr>
        <w:sz w:val="24"/>
        <w:szCs w:val="24"/>
      </w:rPr>
      <w:t xml:space="preserve">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98862" w14:textId="77777777" w:rsidR="004F32B6" w:rsidRPr="00003240" w:rsidRDefault="004F32B6" w:rsidP="004F32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C6F72C"/>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AC86146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9A0AFAC8"/>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022B53DA"/>
    <w:multiLevelType w:val="multilevel"/>
    <w:tmpl w:val="2054B25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8C6708"/>
    <w:multiLevelType w:val="multilevel"/>
    <w:tmpl w:val="C2164EDC"/>
    <w:styleLink w:val="TableBulle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5" w15:restartNumberingAfterBreak="0">
    <w:nsid w:val="0F945CE5"/>
    <w:multiLevelType w:val="hybridMultilevel"/>
    <w:tmpl w:val="0F78E7A4"/>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6" w15:restartNumberingAfterBreak="0">
    <w:nsid w:val="0FAA3078"/>
    <w:multiLevelType w:val="multilevel"/>
    <w:tmpl w:val="38B87B5E"/>
    <w:styleLink w:val="ETHOSSchedule"/>
    <w:lvl w:ilvl="0">
      <w:start w:val="1"/>
      <w:numFmt w:val="none"/>
      <w:pStyle w:val="ScheduleText"/>
      <w:suff w:val="nothing"/>
      <w:lvlText w:val=""/>
      <w:lvlJc w:val="left"/>
      <w:pPr>
        <w:ind w:left="0" w:firstLine="0"/>
      </w:pPr>
      <w:rPr>
        <w:rFonts w:asciiTheme="minorHAnsi" w:hAnsiTheme="minorHAnsi" w:hint="default"/>
        <w:b w:val="0"/>
      </w:rPr>
    </w:lvl>
    <w:lvl w:ilvl="1">
      <w:start w:val="1"/>
      <w:numFmt w:val="lowerLetter"/>
      <w:pStyle w:val="ScheduleList"/>
      <w:lvlText w:val="%2)"/>
      <w:lvlJc w:val="left"/>
      <w:pPr>
        <w:tabs>
          <w:tab w:val="num" w:pos="284"/>
        </w:tabs>
        <w:ind w:left="284" w:hanging="284"/>
      </w:pPr>
      <w:rPr>
        <w:rFonts w:hint="default"/>
      </w:rPr>
    </w:lvl>
    <w:lvl w:ilvl="2">
      <w:start w:val="1"/>
      <w:numFmt w:val="lowerRoman"/>
      <w:lvlText w:val="%3)"/>
      <w:lvlJc w:val="left"/>
      <w:pPr>
        <w:tabs>
          <w:tab w:val="num" w:pos="720"/>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509363F"/>
    <w:multiLevelType w:val="multilevel"/>
    <w:tmpl w:val="8E2EDF3C"/>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
      <w:lvlJc w:val="left"/>
      <w:pPr>
        <w:tabs>
          <w:tab w:val="num" w:pos="0"/>
        </w:tabs>
        <w:ind w:left="0" w:firstLine="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8216D36"/>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BC1340"/>
    <w:multiLevelType w:val="multilevel"/>
    <w:tmpl w:val="46B875E0"/>
    <w:styleLink w:val="ETHOSTableBullet"/>
    <w:lvl w:ilvl="0">
      <w:start w:val="1"/>
      <w:numFmt w:val="bullet"/>
      <w:pStyle w:val="TableBullet1"/>
      <w:lvlText w:val=""/>
      <w:lvlJc w:val="left"/>
      <w:pPr>
        <w:tabs>
          <w:tab w:val="num" w:pos="227"/>
        </w:tabs>
        <w:ind w:left="227" w:hanging="227"/>
      </w:pPr>
      <w:rPr>
        <w:rFonts w:ascii="Symbol" w:hAnsi="Symbol" w:hint="default"/>
        <w:color w:val="auto"/>
      </w:rPr>
    </w:lvl>
    <w:lvl w:ilvl="1">
      <w:start w:val="1"/>
      <w:numFmt w:val="bullet"/>
      <w:pStyle w:val="TableBullet2"/>
      <w:lvlText w:val="-"/>
      <w:lvlJc w:val="left"/>
      <w:pPr>
        <w:tabs>
          <w:tab w:val="num" w:pos="454"/>
        </w:tabs>
        <w:ind w:left="454" w:hanging="227"/>
      </w:pPr>
      <w:rPr>
        <w:rFonts w:ascii="Montserrat" w:hAnsi="Montserrat" w:hint="default"/>
        <w:color w:val="auto"/>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337E171D"/>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1A67FD"/>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0315C94"/>
    <w:multiLevelType w:val="multilevel"/>
    <w:tmpl w:val="46B875E0"/>
    <w:numStyleLink w:val="ETHOSTableBullet"/>
  </w:abstractNum>
  <w:abstractNum w:abstractNumId="13" w15:restartNumberingAfterBreak="0">
    <w:nsid w:val="44E36F54"/>
    <w:multiLevelType w:val="multilevel"/>
    <w:tmpl w:val="59D000C2"/>
    <w:styleLink w:val="ETHOSBullets"/>
    <w:lvl w:ilvl="0">
      <w:start w:val="1"/>
      <w:numFmt w:val="bullet"/>
      <w:lvlText w:val=""/>
      <w:lvlJc w:val="left"/>
      <w:pPr>
        <w:ind w:left="340" w:hanging="340"/>
      </w:pPr>
      <w:rPr>
        <w:rFonts w:ascii="Wingdings" w:hAnsi="Wingdings" w:hint="default"/>
        <w:color w:val="1D2030" w:themeColor="text1"/>
      </w:rPr>
    </w:lvl>
    <w:lvl w:ilvl="1">
      <w:start w:val="1"/>
      <w:numFmt w:val="bullet"/>
      <w:lvlText w:val="o"/>
      <w:lvlJc w:val="left"/>
      <w:pPr>
        <w:ind w:left="680" w:hanging="340"/>
      </w:pPr>
      <w:rPr>
        <w:rFonts w:ascii="Courier New" w:hAnsi="Courier New" w:cs="Courier New" w:hint="default"/>
        <w:color w:val="auto"/>
      </w:rPr>
    </w:lvl>
    <w:lvl w:ilvl="2">
      <w:start w:val="1"/>
      <w:numFmt w:val="bullet"/>
      <w:lvlText w:val="○"/>
      <w:lvlJc w:val="left"/>
      <w:pPr>
        <w:ind w:left="1020" w:hanging="340"/>
      </w:pPr>
      <w:rPr>
        <w:rFonts w:ascii="Arial" w:hAnsi="Arial" w:hint="default"/>
        <w:color w:val="1D2030" w:themeColor="text1"/>
      </w:rPr>
    </w:lvl>
    <w:lvl w:ilvl="3">
      <w:start w:val="1"/>
      <w:numFmt w:val="bullet"/>
      <w:lvlText w:val="−"/>
      <w:lvlJc w:val="left"/>
      <w:pPr>
        <w:ind w:left="1360" w:hanging="340"/>
      </w:pPr>
      <w:rPr>
        <w:rFonts w:hint="default"/>
        <w:color w:val="auto"/>
      </w:rPr>
    </w:lvl>
    <w:lvl w:ilvl="4">
      <w:start w:val="1"/>
      <w:numFmt w:val="bullet"/>
      <w:lvlText w:val="−"/>
      <w:lvlJc w:val="left"/>
      <w:pPr>
        <w:ind w:left="1700" w:hanging="340"/>
      </w:pPr>
      <w:rPr>
        <w:rFonts w:hint="default"/>
        <w:color w:val="auto"/>
      </w:rPr>
    </w:lvl>
    <w:lvl w:ilvl="5">
      <w:start w:val="1"/>
      <w:numFmt w:val="bullet"/>
      <w:lvlText w:val="−"/>
      <w:lvlJc w:val="left"/>
      <w:pPr>
        <w:ind w:left="2040" w:hanging="340"/>
      </w:pPr>
      <w:rPr>
        <w:rFonts w:hint="default"/>
        <w:color w:val="auto"/>
      </w:rPr>
    </w:lvl>
    <w:lvl w:ilvl="6">
      <w:start w:val="1"/>
      <w:numFmt w:val="bullet"/>
      <w:lvlText w:val="−"/>
      <w:lvlJc w:val="left"/>
      <w:pPr>
        <w:ind w:left="2380" w:hanging="340"/>
      </w:pPr>
      <w:rPr>
        <w:rFonts w:hint="default"/>
        <w:color w:val="auto"/>
      </w:rPr>
    </w:lvl>
    <w:lvl w:ilvl="7">
      <w:start w:val="1"/>
      <w:numFmt w:val="bullet"/>
      <w:lvlText w:val="−"/>
      <w:lvlJc w:val="left"/>
      <w:pPr>
        <w:ind w:left="2720" w:hanging="340"/>
      </w:pPr>
      <w:rPr>
        <w:rFonts w:hint="default"/>
        <w:color w:val="auto"/>
      </w:rPr>
    </w:lvl>
    <w:lvl w:ilvl="8">
      <w:start w:val="1"/>
      <w:numFmt w:val="bullet"/>
      <w:lvlText w:val="−"/>
      <w:lvlJc w:val="left"/>
      <w:pPr>
        <w:ind w:left="3060" w:hanging="340"/>
      </w:pPr>
      <w:rPr>
        <w:rFonts w:hint="default"/>
        <w:color w:val="auto"/>
      </w:rPr>
    </w:lvl>
  </w:abstractNum>
  <w:abstractNum w:abstractNumId="14" w15:restartNumberingAfterBreak="0">
    <w:nsid w:val="4F105BEC"/>
    <w:multiLevelType w:val="multilevel"/>
    <w:tmpl w:val="26446CA4"/>
    <w:styleLink w:val="ETHOSBULLETS0"/>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284" w:hanging="284"/>
      </w:pPr>
      <w:rPr>
        <w:rFonts w:ascii="Arial" w:hAnsi="Arial" w:hint="default"/>
        <w:color w:val="auto"/>
      </w:rPr>
    </w:lvl>
    <w:lvl w:ilvl="2">
      <w:start w:val="1"/>
      <w:numFmt w:val="bullet"/>
      <w:pStyle w:val="ListBullet3"/>
      <w:lvlText w:val="-"/>
      <w:lvlJc w:val="left"/>
      <w:pPr>
        <w:ind w:left="852" w:hanging="284"/>
      </w:pPr>
      <w:rPr>
        <w:rFonts w:ascii="Arial" w:hAnsi="Arial" w:hint="default"/>
        <w:color w:val="auto"/>
      </w:rPr>
    </w:lvl>
    <w:lvl w:ilvl="3">
      <w:start w:val="1"/>
      <w:numFmt w:val="bullet"/>
      <w:lvlText w:val="-"/>
      <w:lvlJc w:val="left"/>
      <w:pPr>
        <w:ind w:left="1136" w:hanging="284"/>
      </w:pPr>
      <w:rPr>
        <w:rFonts w:ascii="Arial" w:hAnsi="Arial" w:hint="default"/>
        <w:color w:val="auto"/>
      </w:rPr>
    </w:lvl>
    <w:lvl w:ilvl="4">
      <w:start w:val="1"/>
      <w:numFmt w:val="bullet"/>
      <w:lvlText w:val="-"/>
      <w:lvlJc w:val="left"/>
      <w:pPr>
        <w:ind w:left="1420" w:hanging="284"/>
      </w:pPr>
      <w:rPr>
        <w:rFonts w:ascii="Arial" w:hAnsi="Arial" w:hint="default"/>
        <w:color w:val="auto"/>
      </w:rPr>
    </w:lvl>
    <w:lvl w:ilvl="5">
      <w:start w:val="1"/>
      <w:numFmt w:val="bullet"/>
      <w:lvlText w:val="-"/>
      <w:lvlJc w:val="left"/>
      <w:pPr>
        <w:ind w:left="1704" w:hanging="284"/>
      </w:pPr>
      <w:rPr>
        <w:rFonts w:ascii="Arial" w:hAnsi="Arial" w:hint="default"/>
        <w:color w:val="auto"/>
      </w:rPr>
    </w:lvl>
    <w:lvl w:ilvl="6">
      <w:start w:val="1"/>
      <w:numFmt w:val="bullet"/>
      <w:lvlText w:val="-"/>
      <w:lvlJc w:val="left"/>
      <w:pPr>
        <w:ind w:left="1988" w:hanging="284"/>
      </w:pPr>
      <w:rPr>
        <w:rFonts w:ascii="Arial" w:hAnsi="Arial" w:hint="default"/>
        <w:color w:val="auto"/>
      </w:rPr>
    </w:lvl>
    <w:lvl w:ilvl="7">
      <w:start w:val="1"/>
      <w:numFmt w:val="bullet"/>
      <w:lvlText w:val="-"/>
      <w:lvlJc w:val="left"/>
      <w:pPr>
        <w:ind w:left="2272" w:hanging="284"/>
      </w:pPr>
      <w:rPr>
        <w:rFonts w:ascii="Arial" w:hAnsi="Arial" w:hint="default"/>
        <w:color w:val="auto"/>
      </w:rPr>
    </w:lvl>
    <w:lvl w:ilvl="8">
      <w:start w:val="1"/>
      <w:numFmt w:val="bullet"/>
      <w:lvlText w:val="-"/>
      <w:lvlJc w:val="left"/>
      <w:pPr>
        <w:ind w:left="2556" w:hanging="284"/>
      </w:pPr>
      <w:rPr>
        <w:rFonts w:ascii="Arial" w:hAnsi="Arial" w:hint="default"/>
        <w:color w:val="auto"/>
      </w:rPr>
    </w:lvl>
  </w:abstractNum>
  <w:abstractNum w:abstractNumId="15" w15:restartNumberingAfterBreak="0">
    <w:nsid w:val="57505627"/>
    <w:multiLevelType w:val="multilevel"/>
    <w:tmpl w:val="DA3841AA"/>
    <w:styleLink w:val="ETHOSLIST"/>
    <w:lvl w:ilvl="0">
      <w:start w:val="1"/>
      <w:numFmt w:val="lowerLetter"/>
      <w:pStyle w:val="List"/>
      <w:lvlText w:val="%1."/>
      <w:lvlJc w:val="left"/>
      <w:pPr>
        <w:tabs>
          <w:tab w:val="num" w:pos="567"/>
        </w:tabs>
        <w:ind w:left="567" w:hanging="283"/>
      </w:pPr>
      <w:rPr>
        <w:rFonts w:hint="default"/>
      </w:rPr>
    </w:lvl>
    <w:lvl w:ilvl="1">
      <w:start w:val="1"/>
      <w:numFmt w:val="lowerRoman"/>
      <w:pStyle w:val="List2"/>
      <w:lvlText w:val="%2."/>
      <w:lvlJc w:val="left"/>
      <w:pPr>
        <w:tabs>
          <w:tab w:val="num" w:pos="851"/>
        </w:tabs>
        <w:ind w:left="851" w:hanging="283"/>
      </w:pPr>
      <w:rPr>
        <w:rFonts w:hint="default"/>
      </w:rPr>
    </w:lvl>
    <w:lvl w:ilvl="2">
      <w:start w:val="1"/>
      <w:numFmt w:val="upperLetter"/>
      <w:pStyle w:val="List3"/>
      <w:lvlText w:val="%3."/>
      <w:lvlJc w:val="left"/>
      <w:pPr>
        <w:tabs>
          <w:tab w:val="num" w:pos="1134"/>
        </w:tabs>
        <w:ind w:left="1134" w:hanging="282"/>
      </w:pPr>
      <w:rPr>
        <w:rFonts w:hint="default"/>
      </w:rPr>
    </w:lvl>
    <w:lvl w:ilvl="3">
      <w:start w:val="1"/>
      <w:numFmt w:val="none"/>
      <w:lvlText w:val=""/>
      <w:lvlJc w:val="left"/>
      <w:pPr>
        <w:tabs>
          <w:tab w:val="num" w:pos="1134"/>
        </w:tabs>
        <w:ind w:left="1136" w:firstLine="0"/>
      </w:pPr>
      <w:rPr>
        <w:rFonts w:hint="default"/>
      </w:rPr>
    </w:lvl>
    <w:lvl w:ilvl="4">
      <w:start w:val="1"/>
      <w:numFmt w:val="none"/>
      <w:lvlText w:val=""/>
      <w:lvlJc w:val="left"/>
      <w:pPr>
        <w:ind w:left="1420" w:firstLine="0"/>
      </w:pPr>
      <w:rPr>
        <w:rFonts w:hint="default"/>
      </w:rPr>
    </w:lvl>
    <w:lvl w:ilvl="5">
      <w:start w:val="1"/>
      <w:numFmt w:val="none"/>
      <w:lvlText w:val=""/>
      <w:lvlJc w:val="left"/>
      <w:pPr>
        <w:ind w:left="1704" w:firstLine="0"/>
      </w:pPr>
      <w:rPr>
        <w:rFonts w:hint="default"/>
      </w:rPr>
    </w:lvl>
    <w:lvl w:ilvl="6">
      <w:start w:val="1"/>
      <w:numFmt w:val="none"/>
      <w:lvlText w:val=""/>
      <w:lvlJc w:val="left"/>
      <w:pPr>
        <w:ind w:left="1988" w:firstLine="0"/>
      </w:pPr>
      <w:rPr>
        <w:rFonts w:hint="default"/>
      </w:rPr>
    </w:lvl>
    <w:lvl w:ilvl="7">
      <w:start w:val="1"/>
      <w:numFmt w:val="none"/>
      <w:lvlText w:val=""/>
      <w:lvlJc w:val="left"/>
      <w:pPr>
        <w:ind w:left="2272" w:firstLine="0"/>
      </w:pPr>
      <w:rPr>
        <w:rFonts w:hint="default"/>
      </w:rPr>
    </w:lvl>
    <w:lvl w:ilvl="8">
      <w:start w:val="1"/>
      <w:numFmt w:val="none"/>
      <w:lvlText w:val=""/>
      <w:lvlJc w:val="left"/>
      <w:pPr>
        <w:ind w:left="2556" w:firstLine="0"/>
      </w:pPr>
      <w:rPr>
        <w:rFonts w:hint="default"/>
      </w:rPr>
    </w:lvl>
  </w:abstractNum>
  <w:abstractNum w:abstractNumId="16" w15:restartNumberingAfterBreak="0">
    <w:nsid w:val="59C92CCC"/>
    <w:multiLevelType w:val="multilevel"/>
    <w:tmpl w:val="B7801B52"/>
    <w:numStyleLink w:val="ETHOSLISTNUMBER"/>
  </w:abstractNum>
  <w:abstractNum w:abstractNumId="17" w15:restartNumberingAfterBreak="0">
    <w:nsid w:val="5BD36713"/>
    <w:multiLevelType w:val="multilevel"/>
    <w:tmpl w:val="9D4E3B4E"/>
    <w:numStyleLink w:val="ETHOSExecutiveSummary"/>
  </w:abstractNum>
  <w:abstractNum w:abstractNumId="18" w15:restartNumberingAfterBreak="0">
    <w:nsid w:val="5DE56277"/>
    <w:multiLevelType w:val="multilevel"/>
    <w:tmpl w:val="B7801B52"/>
    <w:styleLink w:val="ETHOSLISTNUMBER"/>
    <w:lvl w:ilvl="0">
      <w:start w:val="1"/>
      <w:numFmt w:val="decimal"/>
      <w:pStyle w:val="ListNumber"/>
      <w:lvlText w:val="%1."/>
      <w:lvlJc w:val="left"/>
      <w:pPr>
        <w:ind w:left="284" w:hanging="284"/>
      </w:pPr>
      <w:rPr>
        <w:rFonts w:asciiTheme="majorHAnsi" w:hAnsiTheme="majorHAnsi" w:hint="default"/>
        <w:b w:val="0"/>
      </w:rPr>
    </w:lvl>
    <w:lvl w:ilvl="1">
      <w:start w:val="1"/>
      <w:numFmt w:val="lowerLetter"/>
      <w:pStyle w:val="ListNumber2"/>
      <w:lvlText w:val="%2."/>
      <w:lvlJc w:val="left"/>
      <w:pPr>
        <w:ind w:left="568" w:hanging="284"/>
      </w:pPr>
      <w:rPr>
        <w:rFonts w:hint="default"/>
      </w:rPr>
    </w:lvl>
    <w:lvl w:ilvl="2">
      <w:start w:val="1"/>
      <w:numFmt w:val="lowerRoman"/>
      <w:pStyle w:val="ListNumber3"/>
      <w:lvlText w:val="%3."/>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2" w:hanging="284"/>
      </w:pPr>
      <w:rPr>
        <w:rFonts w:hint="default"/>
      </w:rPr>
    </w:lvl>
  </w:abstractNum>
  <w:abstractNum w:abstractNumId="19" w15:restartNumberingAfterBreak="0">
    <w:nsid w:val="6BBC5125"/>
    <w:multiLevelType w:val="multilevel"/>
    <w:tmpl w:val="9D4E3B4E"/>
    <w:styleLink w:val="ETHOSExecutiveSummary"/>
    <w:lvl w:ilvl="0">
      <w:start w:val="1"/>
      <w:numFmt w:val="decimal"/>
      <w:pStyle w:val="ESNumberedBody"/>
      <w:lvlText w:val="%1."/>
      <w:lvlJc w:val="left"/>
      <w:pPr>
        <w:tabs>
          <w:tab w:val="num" w:pos="567"/>
        </w:tabs>
        <w:ind w:left="567" w:hanging="567"/>
      </w:pPr>
      <w:rPr>
        <w:rFonts w:hint="default"/>
      </w:rPr>
    </w:lvl>
    <w:lvl w:ilvl="1">
      <w:start w:val="1"/>
      <w:numFmt w:val="bullet"/>
      <w:pStyle w:val="ESNumberedBullet1"/>
      <w:lvlText w:val=""/>
      <w:lvlJc w:val="left"/>
      <w:pPr>
        <w:tabs>
          <w:tab w:val="num" w:pos="284"/>
        </w:tabs>
        <w:ind w:left="284" w:hanging="284"/>
      </w:pPr>
      <w:rPr>
        <w:rFonts w:ascii="Symbol" w:hAnsi="Symbol" w:hint="default"/>
        <w:color w:val="auto"/>
      </w:rPr>
    </w:lvl>
    <w:lvl w:ilvl="2">
      <w:start w:val="1"/>
      <w:numFmt w:val="bullet"/>
      <w:pStyle w:val="ESNumberedBullet2"/>
      <w:lvlText w:val="-"/>
      <w:lvlJc w:val="left"/>
      <w:pPr>
        <w:tabs>
          <w:tab w:val="num" w:pos="283"/>
        </w:tabs>
        <w:ind w:left="283" w:hanging="283"/>
      </w:pPr>
      <w:rPr>
        <w:rFonts w:ascii="Sofia Pro Light" w:hAnsi="Sofia Pro Light" w:hint="default"/>
        <w:color w:val="auto"/>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754B1904"/>
    <w:multiLevelType w:val="multilevel"/>
    <w:tmpl w:val="DA1051CA"/>
    <w:styleLink w:val="ETHOSNumberedHeading"/>
    <w:lvl w:ilvl="0">
      <w:start w:val="1"/>
      <w:numFmt w:val="none"/>
      <w:lvlRestart w:val="0"/>
      <w:pStyle w:val="SectionHeading"/>
      <w:suff w:val="nothing"/>
      <w:lvlText w:val=""/>
      <w:lvlJc w:val="left"/>
      <w:pPr>
        <w:ind w:left="0" w:firstLine="0"/>
      </w:pPr>
      <w:rPr>
        <w:rFonts w:hint="default"/>
      </w:rPr>
    </w:lvl>
    <w:lvl w:ilvl="1">
      <w:start w:val="1"/>
      <w:numFmt w:val="decimal"/>
      <w:pStyle w:val="Heading1"/>
      <w:lvlText w:val="%2.0"/>
      <w:lvlJc w:val="left"/>
      <w:pPr>
        <w:tabs>
          <w:tab w:val="num" w:pos="907"/>
        </w:tabs>
        <w:ind w:left="907" w:hanging="907"/>
      </w:pPr>
      <w:rPr>
        <w:rFonts w:hint="default"/>
      </w:rPr>
    </w:lvl>
    <w:lvl w:ilvl="2">
      <w:start w:val="1"/>
      <w:numFmt w:val="decimal"/>
      <w:pStyle w:val="Heading2"/>
      <w:lvlText w:val="%2.%3"/>
      <w:lvlJc w:val="left"/>
      <w:pPr>
        <w:tabs>
          <w:tab w:val="num" w:pos="680"/>
        </w:tabs>
        <w:ind w:left="680" w:hanging="680"/>
      </w:pPr>
      <w:rPr>
        <w:rFonts w:hint="default"/>
      </w:rPr>
    </w:lvl>
    <w:lvl w:ilvl="3">
      <w:start w:val="1"/>
      <w:numFmt w:val="decimal"/>
      <w:pStyle w:val="Heading3"/>
      <w:lvlText w:val="%2.%3.%4"/>
      <w:lvlJc w:val="left"/>
      <w:pPr>
        <w:tabs>
          <w:tab w:val="num" w:pos="680"/>
        </w:tabs>
        <w:ind w:left="680" w:hanging="680"/>
      </w:pPr>
      <w:rPr>
        <w:rFonts w:hint="default"/>
      </w:rPr>
    </w:lvl>
    <w:lvl w:ilvl="4">
      <w:start w:val="1"/>
      <w:numFmt w:val="decimal"/>
      <w:lvlText w:val="%2.%3.%4.%5"/>
      <w:lvlJc w:val="left"/>
      <w:pPr>
        <w:tabs>
          <w:tab w:val="num" w:pos="680"/>
        </w:tabs>
        <w:ind w:left="680" w:hanging="680"/>
      </w:pPr>
      <w:rPr>
        <w:rFonts w:hint="default"/>
      </w:rPr>
    </w:lvl>
    <w:lvl w:ilvl="5">
      <w:start w:val="1"/>
      <w:numFmt w:val="none"/>
      <w:lvlText w:val=""/>
      <w:lvlJc w:val="left"/>
      <w:pPr>
        <w:ind w:left="680" w:firstLine="0"/>
      </w:pPr>
      <w:rPr>
        <w:rFonts w:hint="default"/>
      </w:rPr>
    </w:lvl>
    <w:lvl w:ilvl="6">
      <w:start w:val="1"/>
      <w:numFmt w:val="none"/>
      <w:lvlText w:val=""/>
      <w:lvlJc w:val="left"/>
      <w:pPr>
        <w:ind w:left="680" w:firstLine="0"/>
      </w:pPr>
      <w:rPr>
        <w:rFonts w:hint="default"/>
      </w:rPr>
    </w:lvl>
    <w:lvl w:ilvl="7">
      <w:start w:val="1"/>
      <w:numFmt w:val="none"/>
      <w:lvlText w:val=""/>
      <w:lvlJc w:val="left"/>
      <w:pPr>
        <w:ind w:left="680" w:firstLine="0"/>
      </w:pPr>
      <w:rPr>
        <w:rFonts w:hint="default"/>
      </w:rPr>
    </w:lvl>
    <w:lvl w:ilvl="8">
      <w:start w:val="1"/>
      <w:numFmt w:val="none"/>
      <w:lvlText w:val=""/>
      <w:lvlJc w:val="left"/>
      <w:pPr>
        <w:ind w:left="680" w:firstLine="0"/>
      </w:pPr>
      <w:rPr>
        <w:rFonts w:hint="default"/>
      </w:rPr>
    </w:lvl>
  </w:abstractNum>
  <w:num w:numId="1" w16cid:durableId="1168599905">
    <w:abstractNumId w:val="2"/>
  </w:num>
  <w:num w:numId="2" w16cid:durableId="930964469">
    <w:abstractNumId w:val="1"/>
  </w:num>
  <w:num w:numId="3" w16cid:durableId="448090612">
    <w:abstractNumId w:val="0"/>
  </w:num>
  <w:num w:numId="4" w16cid:durableId="1168595547">
    <w:abstractNumId w:val="9"/>
  </w:num>
  <w:num w:numId="5" w16cid:durableId="226963553">
    <w:abstractNumId w:val="10"/>
  </w:num>
  <w:num w:numId="6" w16cid:durableId="1429156940">
    <w:abstractNumId w:val="8"/>
  </w:num>
  <w:num w:numId="7" w16cid:durableId="1621305034">
    <w:abstractNumId w:val="11"/>
  </w:num>
  <w:num w:numId="8" w16cid:durableId="289215775">
    <w:abstractNumId w:val="6"/>
  </w:num>
  <w:num w:numId="9" w16cid:durableId="1779718767">
    <w:abstractNumId w:val="14"/>
  </w:num>
  <w:num w:numId="10" w16cid:durableId="1547526888">
    <w:abstractNumId w:val="15"/>
  </w:num>
  <w:num w:numId="11" w16cid:durableId="1555772496">
    <w:abstractNumId w:val="18"/>
  </w:num>
  <w:num w:numId="12" w16cid:durableId="202906661">
    <w:abstractNumId w:val="20"/>
  </w:num>
  <w:num w:numId="13" w16cid:durableId="306594244">
    <w:abstractNumId w:val="7"/>
    <w:lvlOverride w:ilvl="0">
      <w:lvl w:ilvl="0">
        <w:start w:val="1"/>
        <w:numFmt w:val="upperLetter"/>
        <w:pStyle w:val="AppendixHeading1"/>
        <w:suff w:val="space"/>
        <w:lvlText w:val="Appendix %1    "/>
        <w:lvlJc w:val="left"/>
        <w:pPr>
          <w:ind w:left="0" w:firstLine="0"/>
        </w:pPr>
      </w:lvl>
    </w:lvlOverride>
    <w:lvlOverride w:ilvl="1">
      <w:lvl w:ilvl="1">
        <w:start w:val="1"/>
        <w:numFmt w:val="decimal"/>
        <w:pStyle w:val="AppendixHeading2"/>
        <w:lvlText w:val="%1.%2 "/>
        <w:lvlJc w:val="left"/>
        <w:pPr>
          <w:tabs>
            <w:tab w:val="num" w:pos="0"/>
          </w:tabs>
          <w:ind w:left="0" w:firstLine="0"/>
        </w:pPr>
        <w:rPr>
          <w:rFonts w:hint="default"/>
        </w:rPr>
      </w:lvl>
    </w:lvlOverride>
    <w:lvlOverride w:ilvl="2">
      <w:lvl w:ilvl="2">
        <w:start w:val="1"/>
        <w:numFmt w:val="none"/>
        <w:lvlText w:val=""/>
        <w:lvlJc w:val="left"/>
        <w:pPr>
          <w:ind w:left="1080" w:hanging="360"/>
        </w:pPr>
        <w:rPr>
          <w:rFonts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 w:numId="14" w16cid:durableId="1419012222">
    <w:abstractNumId w:val="20"/>
  </w:num>
  <w:num w:numId="15" w16cid:durableId="1735621500">
    <w:abstractNumId w:val="6"/>
  </w:num>
  <w:num w:numId="16" w16cid:durableId="1981424844">
    <w:abstractNumId w:val="14"/>
  </w:num>
  <w:num w:numId="17" w16cid:durableId="1580359657">
    <w:abstractNumId w:val="15"/>
  </w:num>
  <w:num w:numId="18" w16cid:durableId="2036271333">
    <w:abstractNumId w:val="16"/>
  </w:num>
  <w:num w:numId="19" w16cid:durableId="1291745984">
    <w:abstractNumId w:val="12"/>
  </w:num>
  <w:num w:numId="20" w16cid:durableId="1042629301">
    <w:abstractNumId w:val="19"/>
  </w:num>
  <w:num w:numId="21" w16cid:durableId="1613826439">
    <w:abstractNumId w:val="17"/>
  </w:num>
  <w:num w:numId="22" w16cid:durableId="7417516">
    <w:abstractNumId w:val="13"/>
  </w:num>
  <w:num w:numId="23" w16cid:durableId="1407997185">
    <w:abstractNumId w:val="4"/>
  </w:num>
  <w:num w:numId="24" w16cid:durableId="970793714">
    <w:abstractNumId w:val="3"/>
  </w:num>
  <w:num w:numId="25" w16cid:durableId="1943872540">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AC6"/>
    <w:rsid w:val="00004416"/>
    <w:rsid w:val="00010334"/>
    <w:rsid w:val="00013AB1"/>
    <w:rsid w:val="0001680F"/>
    <w:rsid w:val="00017912"/>
    <w:rsid w:val="00017B14"/>
    <w:rsid w:val="00021347"/>
    <w:rsid w:val="0002233B"/>
    <w:rsid w:val="00022A24"/>
    <w:rsid w:val="00023490"/>
    <w:rsid w:val="00033639"/>
    <w:rsid w:val="00035863"/>
    <w:rsid w:val="00036C7A"/>
    <w:rsid w:val="00041804"/>
    <w:rsid w:val="000421B5"/>
    <w:rsid w:val="00053C16"/>
    <w:rsid w:val="00053DC4"/>
    <w:rsid w:val="000549F8"/>
    <w:rsid w:val="00054F3F"/>
    <w:rsid w:val="00055065"/>
    <w:rsid w:val="00055403"/>
    <w:rsid w:val="0005591B"/>
    <w:rsid w:val="00055B51"/>
    <w:rsid w:val="00055DD6"/>
    <w:rsid w:val="00056BB2"/>
    <w:rsid w:val="000573FE"/>
    <w:rsid w:val="00057529"/>
    <w:rsid w:val="00057918"/>
    <w:rsid w:val="00060FEE"/>
    <w:rsid w:val="00062C9E"/>
    <w:rsid w:val="00063250"/>
    <w:rsid w:val="00063372"/>
    <w:rsid w:val="0007207C"/>
    <w:rsid w:val="00077C42"/>
    <w:rsid w:val="000841DC"/>
    <w:rsid w:val="00085A69"/>
    <w:rsid w:val="00091482"/>
    <w:rsid w:val="000921F7"/>
    <w:rsid w:val="000928F2"/>
    <w:rsid w:val="00093B14"/>
    <w:rsid w:val="00094D7F"/>
    <w:rsid w:val="00094F35"/>
    <w:rsid w:val="0009516F"/>
    <w:rsid w:val="0009582B"/>
    <w:rsid w:val="00095B72"/>
    <w:rsid w:val="000977E7"/>
    <w:rsid w:val="000A1F71"/>
    <w:rsid w:val="000A3743"/>
    <w:rsid w:val="000A40EF"/>
    <w:rsid w:val="000B04C7"/>
    <w:rsid w:val="000B172E"/>
    <w:rsid w:val="000B6A6E"/>
    <w:rsid w:val="000C13D1"/>
    <w:rsid w:val="000C226B"/>
    <w:rsid w:val="000C521A"/>
    <w:rsid w:val="000C6F91"/>
    <w:rsid w:val="000D1983"/>
    <w:rsid w:val="000D23C5"/>
    <w:rsid w:val="000E1423"/>
    <w:rsid w:val="000E5135"/>
    <w:rsid w:val="000E7D54"/>
    <w:rsid w:val="000F2368"/>
    <w:rsid w:val="000F2F1D"/>
    <w:rsid w:val="000F3491"/>
    <w:rsid w:val="000F4AD9"/>
    <w:rsid w:val="000F4E6D"/>
    <w:rsid w:val="000F64FB"/>
    <w:rsid w:val="000F6956"/>
    <w:rsid w:val="000F7330"/>
    <w:rsid w:val="0010478A"/>
    <w:rsid w:val="00104FAA"/>
    <w:rsid w:val="00106D09"/>
    <w:rsid w:val="001079D5"/>
    <w:rsid w:val="001114BA"/>
    <w:rsid w:val="00113AE5"/>
    <w:rsid w:val="00117E56"/>
    <w:rsid w:val="00125792"/>
    <w:rsid w:val="001301A0"/>
    <w:rsid w:val="00131E19"/>
    <w:rsid w:val="00132EB2"/>
    <w:rsid w:val="00134E30"/>
    <w:rsid w:val="00136DE0"/>
    <w:rsid w:val="00143A2D"/>
    <w:rsid w:val="00143A59"/>
    <w:rsid w:val="001445C0"/>
    <w:rsid w:val="00144AC8"/>
    <w:rsid w:val="001451F9"/>
    <w:rsid w:val="00151131"/>
    <w:rsid w:val="00151B81"/>
    <w:rsid w:val="00153AC4"/>
    <w:rsid w:val="00155767"/>
    <w:rsid w:val="001607A9"/>
    <w:rsid w:val="001609B7"/>
    <w:rsid w:val="001610A9"/>
    <w:rsid w:val="001703B3"/>
    <w:rsid w:val="00170642"/>
    <w:rsid w:val="001712CA"/>
    <w:rsid w:val="0017462C"/>
    <w:rsid w:val="00175308"/>
    <w:rsid w:val="00175505"/>
    <w:rsid w:val="001769D0"/>
    <w:rsid w:val="00177460"/>
    <w:rsid w:val="00182B21"/>
    <w:rsid w:val="00184290"/>
    <w:rsid w:val="001866A4"/>
    <w:rsid w:val="00186BF7"/>
    <w:rsid w:val="00186F01"/>
    <w:rsid w:val="00187671"/>
    <w:rsid w:val="001967B2"/>
    <w:rsid w:val="001A0CE1"/>
    <w:rsid w:val="001A1F51"/>
    <w:rsid w:val="001A3419"/>
    <w:rsid w:val="001A56A3"/>
    <w:rsid w:val="001A6CC6"/>
    <w:rsid w:val="001B18F3"/>
    <w:rsid w:val="001B3A8F"/>
    <w:rsid w:val="001B436A"/>
    <w:rsid w:val="001C2FD5"/>
    <w:rsid w:val="001C38B3"/>
    <w:rsid w:val="001C605E"/>
    <w:rsid w:val="001C673E"/>
    <w:rsid w:val="001D2146"/>
    <w:rsid w:val="001D2E4B"/>
    <w:rsid w:val="001D3DD5"/>
    <w:rsid w:val="001D40C8"/>
    <w:rsid w:val="001D636F"/>
    <w:rsid w:val="001D6B8B"/>
    <w:rsid w:val="001E583A"/>
    <w:rsid w:val="001E5BEA"/>
    <w:rsid w:val="001F3F5F"/>
    <w:rsid w:val="001F402A"/>
    <w:rsid w:val="001F629B"/>
    <w:rsid w:val="00200F93"/>
    <w:rsid w:val="002051EA"/>
    <w:rsid w:val="00205469"/>
    <w:rsid w:val="00207B3F"/>
    <w:rsid w:val="002133BA"/>
    <w:rsid w:val="002164F2"/>
    <w:rsid w:val="00221305"/>
    <w:rsid w:val="00221827"/>
    <w:rsid w:val="002238AB"/>
    <w:rsid w:val="002253E9"/>
    <w:rsid w:val="00230351"/>
    <w:rsid w:val="002314AA"/>
    <w:rsid w:val="002314E1"/>
    <w:rsid w:val="0023154A"/>
    <w:rsid w:val="00231E43"/>
    <w:rsid w:val="00237E3F"/>
    <w:rsid w:val="002400D9"/>
    <w:rsid w:val="002405A5"/>
    <w:rsid w:val="00241D0A"/>
    <w:rsid w:val="002437E4"/>
    <w:rsid w:val="002530B2"/>
    <w:rsid w:val="00253198"/>
    <w:rsid w:val="00253E04"/>
    <w:rsid w:val="0025612D"/>
    <w:rsid w:val="00256896"/>
    <w:rsid w:val="00264DDC"/>
    <w:rsid w:val="002650D4"/>
    <w:rsid w:val="002661BB"/>
    <w:rsid w:val="002664EE"/>
    <w:rsid w:val="002711DA"/>
    <w:rsid w:val="002724C5"/>
    <w:rsid w:val="0027673C"/>
    <w:rsid w:val="00281533"/>
    <w:rsid w:val="00281CD2"/>
    <w:rsid w:val="002842BD"/>
    <w:rsid w:val="0028617A"/>
    <w:rsid w:val="002916C6"/>
    <w:rsid w:val="00294377"/>
    <w:rsid w:val="0029623D"/>
    <w:rsid w:val="00296D17"/>
    <w:rsid w:val="00297423"/>
    <w:rsid w:val="002A03C4"/>
    <w:rsid w:val="002A15B9"/>
    <w:rsid w:val="002A1821"/>
    <w:rsid w:val="002A21A3"/>
    <w:rsid w:val="002B0E97"/>
    <w:rsid w:val="002B3494"/>
    <w:rsid w:val="002B6021"/>
    <w:rsid w:val="002B7D93"/>
    <w:rsid w:val="002C1441"/>
    <w:rsid w:val="002C5778"/>
    <w:rsid w:val="002C6BBD"/>
    <w:rsid w:val="002D0880"/>
    <w:rsid w:val="002D3CE3"/>
    <w:rsid w:val="002E04FE"/>
    <w:rsid w:val="002E3891"/>
    <w:rsid w:val="002E3DF9"/>
    <w:rsid w:val="002E3EA5"/>
    <w:rsid w:val="002E413C"/>
    <w:rsid w:val="002E567F"/>
    <w:rsid w:val="002E5E1B"/>
    <w:rsid w:val="002E7413"/>
    <w:rsid w:val="002E7732"/>
    <w:rsid w:val="002E794A"/>
    <w:rsid w:val="002F1DCC"/>
    <w:rsid w:val="002F297C"/>
    <w:rsid w:val="002F2A4E"/>
    <w:rsid w:val="002F78CD"/>
    <w:rsid w:val="002F79E5"/>
    <w:rsid w:val="0030203C"/>
    <w:rsid w:val="00302E13"/>
    <w:rsid w:val="00303238"/>
    <w:rsid w:val="003109DB"/>
    <w:rsid w:val="00311A29"/>
    <w:rsid w:val="00313A7D"/>
    <w:rsid w:val="00313F6F"/>
    <w:rsid w:val="00314E29"/>
    <w:rsid w:val="0031657C"/>
    <w:rsid w:val="003168C1"/>
    <w:rsid w:val="0031742B"/>
    <w:rsid w:val="00326892"/>
    <w:rsid w:val="00330B50"/>
    <w:rsid w:val="00331B71"/>
    <w:rsid w:val="00333750"/>
    <w:rsid w:val="0033471B"/>
    <w:rsid w:val="00334FCE"/>
    <w:rsid w:val="0033510F"/>
    <w:rsid w:val="00336A91"/>
    <w:rsid w:val="0033752C"/>
    <w:rsid w:val="00340BFF"/>
    <w:rsid w:val="00342CE7"/>
    <w:rsid w:val="00344096"/>
    <w:rsid w:val="003443F9"/>
    <w:rsid w:val="00347DF4"/>
    <w:rsid w:val="0035214A"/>
    <w:rsid w:val="00356DED"/>
    <w:rsid w:val="00363233"/>
    <w:rsid w:val="00370B0F"/>
    <w:rsid w:val="00371F37"/>
    <w:rsid w:val="0037424F"/>
    <w:rsid w:val="00375BC3"/>
    <w:rsid w:val="0037607B"/>
    <w:rsid w:val="00381C8D"/>
    <w:rsid w:val="00385F6F"/>
    <w:rsid w:val="00387011"/>
    <w:rsid w:val="00387D18"/>
    <w:rsid w:val="003902D2"/>
    <w:rsid w:val="00391274"/>
    <w:rsid w:val="00391DB9"/>
    <w:rsid w:val="0039284E"/>
    <w:rsid w:val="00394277"/>
    <w:rsid w:val="00394345"/>
    <w:rsid w:val="00397207"/>
    <w:rsid w:val="00397437"/>
    <w:rsid w:val="003B060F"/>
    <w:rsid w:val="003B1011"/>
    <w:rsid w:val="003B4AD2"/>
    <w:rsid w:val="003C064E"/>
    <w:rsid w:val="003C090B"/>
    <w:rsid w:val="003C246D"/>
    <w:rsid w:val="003C2C0A"/>
    <w:rsid w:val="003C4257"/>
    <w:rsid w:val="003C4388"/>
    <w:rsid w:val="003C46FD"/>
    <w:rsid w:val="003C6362"/>
    <w:rsid w:val="003C6719"/>
    <w:rsid w:val="003C7337"/>
    <w:rsid w:val="003D013F"/>
    <w:rsid w:val="003D1744"/>
    <w:rsid w:val="003E188E"/>
    <w:rsid w:val="003E3159"/>
    <w:rsid w:val="003E3214"/>
    <w:rsid w:val="003E346B"/>
    <w:rsid w:val="003E43B5"/>
    <w:rsid w:val="003E7B39"/>
    <w:rsid w:val="003F18D3"/>
    <w:rsid w:val="003F258E"/>
    <w:rsid w:val="003F4B17"/>
    <w:rsid w:val="004010DE"/>
    <w:rsid w:val="00401145"/>
    <w:rsid w:val="004015A0"/>
    <w:rsid w:val="00410173"/>
    <w:rsid w:val="00413675"/>
    <w:rsid w:val="00414224"/>
    <w:rsid w:val="004153E2"/>
    <w:rsid w:val="00415C63"/>
    <w:rsid w:val="00416A7C"/>
    <w:rsid w:val="00420175"/>
    <w:rsid w:val="00421CE2"/>
    <w:rsid w:val="00423105"/>
    <w:rsid w:val="00425D5E"/>
    <w:rsid w:val="004260A3"/>
    <w:rsid w:val="004263EE"/>
    <w:rsid w:val="004277D0"/>
    <w:rsid w:val="00430E18"/>
    <w:rsid w:val="00432E67"/>
    <w:rsid w:val="00433AD0"/>
    <w:rsid w:val="0043707E"/>
    <w:rsid w:val="00440C9E"/>
    <w:rsid w:val="00442A85"/>
    <w:rsid w:val="00443ADA"/>
    <w:rsid w:val="00445486"/>
    <w:rsid w:val="00445ADA"/>
    <w:rsid w:val="00455833"/>
    <w:rsid w:val="00456F31"/>
    <w:rsid w:val="0046391F"/>
    <w:rsid w:val="004649A5"/>
    <w:rsid w:val="00465328"/>
    <w:rsid w:val="00465836"/>
    <w:rsid w:val="00476F5F"/>
    <w:rsid w:val="004770B6"/>
    <w:rsid w:val="004808CF"/>
    <w:rsid w:val="004811B8"/>
    <w:rsid w:val="0048263A"/>
    <w:rsid w:val="00483417"/>
    <w:rsid w:val="00483F9E"/>
    <w:rsid w:val="00485254"/>
    <w:rsid w:val="00490A7A"/>
    <w:rsid w:val="00491E3D"/>
    <w:rsid w:val="00495341"/>
    <w:rsid w:val="004A09E3"/>
    <w:rsid w:val="004A2A1C"/>
    <w:rsid w:val="004A2F7F"/>
    <w:rsid w:val="004A522D"/>
    <w:rsid w:val="004A7389"/>
    <w:rsid w:val="004A75E6"/>
    <w:rsid w:val="004B3508"/>
    <w:rsid w:val="004B399D"/>
    <w:rsid w:val="004B3DC1"/>
    <w:rsid w:val="004B7FF2"/>
    <w:rsid w:val="004C40A6"/>
    <w:rsid w:val="004C6A8C"/>
    <w:rsid w:val="004D0257"/>
    <w:rsid w:val="004D385F"/>
    <w:rsid w:val="004D55BC"/>
    <w:rsid w:val="004D65A7"/>
    <w:rsid w:val="004E3A7B"/>
    <w:rsid w:val="004E4726"/>
    <w:rsid w:val="004E5B8B"/>
    <w:rsid w:val="004E77DC"/>
    <w:rsid w:val="004F120E"/>
    <w:rsid w:val="004F32B6"/>
    <w:rsid w:val="004F519A"/>
    <w:rsid w:val="004F5802"/>
    <w:rsid w:val="00501228"/>
    <w:rsid w:val="00501982"/>
    <w:rsid w:val="005051BD"/>
    <w:rsid w:val="00506685"/>
    <w:rsid w:val="00506874"/>
    <w:rsid w:val="005153DD"/>
    <w:rsid w:val="00516AD2"/>
    <w:rsid w:val="00517784"/>
    <w:rsid w:val="00522210"/>
    <w:rsid w:val="005238F2"/>
    <w:rsid w:val="00523B79"/>
    <w:rsid w:val="005245D6"/>
    <w:rsid w:val="00527507"/>
    <w:rsid w:val="0053195F"/>
    <w:rsid w:val="005320DE"/>
    <w:rsid w:val="005330CA"/>
    <w:rsid w:val="005341B4"/>
    <w:rsid w:val="00534F0D"/>
    <w:rsid w:val="00540916"/>
    <w:rsid w:val="00540934"/>
    <w:rsid w:val="005428CE"/>
    <w:rsid w:val="005456E1"/>
    <w:rsid w:val="00545819"/>
    <w:rsid w:val="005465D5"/>
    <w:rsid w:val="00553015"/>
    <w:rsid w:val="00555AD3"/>
    <w:rsid w:val="00557EB4"/>
    <w:rsid w:val="00565587"/>
    <w:rsid w:val="00570A0F"/>
    <w:rsid w:val="00570EDA"/>
    <w:rsid w:val="00575B63"/>
    <w:rsid w:val="005818D3"/>
    <w:rsid w:val="0058444C"/>
    <w:rsid w:val="005863C7"/>
    <w:rsid w:val="005904AC"/>
    <w:rsid w:val="00590C55"/>
    <w:rsid w:val="00592F4A"/>
    <w:rsid w:val="005942A4"/>
    <w:rsid w:val="00595E2F"/>
    <w:rsid w:val="005967E9"/>
    <w:rsid w:val="0059701D"/>
    <w:rsid w:val="0059748E"/>
    <w:rsid w:val="005A059A"/>
    <w:rsid w:val="005A5D13"/>
    <w:rsid w:val="005A5FAD"/>
    <w:rsid w:val="005A744D"/>
    <w:rsid w:val="005A76A5"/>
    <w:rsid w:val="005B0A40"/>
    <w:rsid w:val="005B2B48"/>
    <w:rsid w:val="005B70FE"/>
    <w:rsid w:val="005B7449"/>
    <w:rsid w:val="005C3101"/>
    <w:rsid w:val="005C3384"/>
    <w:rsid w:val="005C5B6E"/>
    <w:rsid w:val="005D2DF2"/>
    <w:rsid w:val="005D6FF1"/>
    <w:rsid w:val="005E1B97"/>
    <w:rsid w:val="005E4ABD"/>
    <w:rsid w:val="005E6EA6"/>
    <w:rsid w:val="005F4C3C"/>
    <w:rsid w:val="005F6176"/>
    <w:rsid w:val="00603DA2"/>
    <w:rsid w:val="006073EB"/>
    <w:rsid w:val="006079E4"/>
    <w:rsid w:val="00612EF5"/>
    <w:rsid w:val="00614D70"/>
    <w:rsid w:val="0061544E"/>
    <w:rsid w:val="00616549"/>
    <w:rsid w:val="00617205"/>
    <w:rsid w:val="0062021D"/>
    <w:rsid w:val="00621590"/>
    <w:rsid w:val="00622112"/>
    <w:rsid w:val="00622B8A"/>
    <w:rsid w:val="006258B0"/>
    <w:rsid w:val="0062641A"/>
    <w:rsid w:val="00626D50"/>
    <w:rsid w:val="00627FE0"/>
    <w:rsid w:val="006304EC"/>
    <w:rsid w:val="00632247"/>
    <w:rsid w:val="00634203"/>
    <w:rsid w:val="0063487E"/>
    <w:rsid w:val="00636AD8"/>
    <w:rsid w:val="006402CB"/>
    <w:rsid w:val="00640B47"/>
    <w:rsid w:val="00641C56"/>
    <w:rsid w:val="0064236B"/>
    <w:rsid w:val="006476A2"/>
    <w:rsid w:val="00647B78"/>
    <w:rsid w:val="00651C66"/>
    <w:rsid w:val="00651EAC"/>
    <w:rsid w:val="00663EF4"/>
    <w:rsid w:val="006655EF"/>
    <w:rsid w:val="00670323"/>
    <w:rsid w:val="00670C85"/>
    <w:rsid w:val="00677B02"/>
    <w:rsid w:val="00680F27"/>
    <w:rsid w:val="00684D18"/>
    <w:rsid w:val="0069221C"/>
    <w:rsid w:val="00697931"/>
    <w:rsid w:val="006A06EA"/>
    <w:rsid w:val="006A093E"/>
    <w:rsid w:val="006A12D0"/>
    <w:rsid w:val="006A1D57"/>
    <w:rsid w:val="006A310D"/>
    <w:rsid w:val="006B1262"/>
    <w:rsid w:val="006B2861"/>
    <w:rsid w:val="006B7618"/>
    <w:rsid w:val="006B79D5"/>
    <w:rsid w:val="006C1F85"/>
    <w:rsid w:val="006C2979"/>
    <w:rsid w:val="006C4807"/>
    <w:rsid w:val="006D0077"/>
    <w:rsid w:val="006D150E"/>
    <w:rsid w:val="006D2822"/>
    <w:rsid w:val="006D3828"/>
    <w:rsid w:val="006D3FD4"/>
    <w:rsid w:val="006D4EE2"/>
    <w:rsid w:val="006D71CF"/>
    <w:rsid w:val="006E0DF5"/>
    <w:rsid w:val="006E1A46"/>
    <w:rsid w:val="006E23A8"/>
    <w:rsid w:val="006E2876"/>
    <w:rsid w:val="006E6C66"/>
    <w:rsid w:val="006E7887"/>
    <w:rsid w:val="006F55D1"/>
    <w:rsid w:val="006F636A"/>
    <w:rsid w:val="006F7689"/>
    <w:rsid w:val="006F78A6"/>
    <w:rsid w:val="006F7BA5"/>
    <w:rsid w:val="00701F6F"/>
    <w:rsid w:val="0070447D"/>
    <w:rsid w:val="00706D5D"/>
    <w:rsid w:val="00714521"/>
    <w:rsid w:val="00714D8B"/>
    <w:rsid w:val="007162AC"/>
    <w:rsid w:val="007163DC"/>
    <w:rsid w:val="00722577"/>
    <w:rsid w:val="0072593E"/>
    <w:rsid w:val="00727B93"/>
    <w:rsid w:val="0073351F"/>
    <w:rsid w:val="00733AE4"/>
    <w:rsid w:val="00734801"/>
    <w:rsid w:val="00736B5B"/>
    <w:rsid w:val="00737F65"/>
    <w:rsid w:val="00742665"/>
    <w:rsid w:val="00743BD1"/>
    <w:rsid w:val="00747895"/>
    <w:rsid w:val="00753351"/>
    <w:rsid w:val="00753569"/>
    <w:rsid w:val="00755C63"/>
    <w:rsid w:val="00756949"/>
    <w:rsid w:val="00756A92"/>
    <w:rsid w:val="00761351"/>
    <w:rsid w:val="0076253B"/>
    <w:rsid w:val="00764318"/>
    <w:rsid w:val="00764C17"/>
    <w:rsid w:val="007654D8"/>
    <w:rsid w:val="00765871"/>
    <w:rsid w:val="00770C54"/>
    <w:rsid w:val="00771328"/>
    <w:rsid w:val="0077165D"/>
    <w:rsid w:val="00774A41"/>
    <w:rsid w:val="0077555A"/>
    <w:rsid w:val="0077601E"/>
    <w:rsid w:val="00782A9E"/>
    <w:rsid w:val="00785113"/>
    <w:rsid w:val="00785D62"/>
    <w:rsid w:val="00787587"/>
    <w:rsid w:val="007910EA"/>
    <w:rsid w:val="00792064"/>
    <w:rsid w:val="00793200"/>
    <w:rsid w:val="00793ED4"/>
    <w:rsid w:val="0079698C"/>
    <w:rsid w:val="007A13AE"/>
    <w:rsid w:val="007A1A47"/>
    <w:rsid w:val="007A36F5"/>
    <w:rsid w:val="007A6528"/>
    <w:rsid w:val="007B3731"/>
    <w:rsid w:val="007B4FCC"/>
    <w:rsid w:val="007B608F"/>
    <w:rsid w:val="007C4D34"/>
    <w:rsid w:val="007D0F33"/>
    <w:rsid w:val="007D18AC"/>
    <w:rsid w:val="007D67A0"/>
    <w:rsid w:val="007D786D"/>
    <w:rsid w:val="007E4653"/>
    <w:rsid w:val="007E49B8"/>
    <w:rsid w:val="007E71AA"/>
    <w:rsid w:val="007F2DCE"/>
    <w:rsid w:val="007F4F8A"/>
    <w:rsid w:val="007F66EC"/>
    <w:rsid w:val="008021E3"/>
    <w:rsid w:val="008035F7"/>
    <w:rsid w:val="00806F56"/>
    <w:rsid w:val="00813F6D"/>
    <w:rsid w:val="0081479C"/>
    <w:rsid w:val="0081638B"/>
    <w:rsid w:val="00817750"/>
    <w:rsid w:val="00821596"/>
    <w:rsid w:val="00821DDD"/>
    <w:rsid w:val="00823480"/>
    <w:rsid w:val="00824019"/>
    <w:rsid w:val="0082604F"/>
    <w:rsid w:val="008335CA"/>
    <w:rsid w:val="00833745"/>
    <w:rsid w:val="0084093C"/>
    <w:rsid w:val="00842FBB"/>
    <w:rsid w:val="00844B3C"/>
    <w:rsid w:val="008456B9"/>
    <w:rsid w:val="00845CC4"/>
    <w:rsid w:val="0085016E"/>
    <w:rsid w:val="00852E93"/>
    <w:rsid w:val="0085359D"/>
    <w:rsid w:val="008540A6"/>
    <w:rsid w:val="00855EAA"/>
    <w:rsid w:val="0085670F"/>
    <w:rsid w:val="00856745"/>
    <w:rsid w:val="00861513"/>
    <w:rsid w:val="00866248"/>
    <w:rsid w:val="00871831"/>
    <w:rsid w:val="008764CD"/>
    <w:rsid w:val="00876823"/>
    <w:rsid w:val="00880D8A"/>
    <w:rsid w:val="00881445"/>
    <w:rsid w:val="008822D0"/>
    <w:rsid w:val="00882472"/>
    <w:rsid w:val="00891284"/>
    <w:rsid w:val="008917E2"/>
    <w:rsid w:val="00891FB1"/>
    <w:rsid w:val="008942F7"/>
    <w:rsid w:val="00894EBC"/>
    <w:rsid w:val="008957E4"/>
    <w:rsid w:val="008A677B"/>
    <w:rsid w:val="008A67C9"/>
    <w:rsid w:val="008B3715"/>
    <w:rsid w:val="008B4037"/>
    <w:rsid w:val="008B4914"/>
    <w:rsid w:val="008B4B75"/>
    <w:rsid w:val="008C2346"/>
    <w:rsid w:val="008C6A3A"/>
    <w:rsid w:val="008D28FD"/>
    <w:rsid w:val="008D2B7F"/>
    <w:rsid w:val="008D3820"/>
    <w:rsid w:val="008D4743"/>
    <w:rsid w:val="008D525D"/>
    <w:rsid w:val="008E1B7A"/>
    <w:rsid w:val="008E3DE7"/>
    <w:rsid w:val="008E49A3"/>
    <w:rsid w:val="008F0961"/>
    <w:rsid w:val="008F1233"/>
    <w:rsid w:val="008F36B2"/>
    <w:rsid w:val="008F3899"/>
    <w:rsid w:val="008F7441"/>
    <w:rsid w:val="00901E2F"/>
    <w:rsid w:val="00903153"/>
    <w:rsid w:val="00903D00"/>
    <w:rsid w:val="009042E4"/>
    <w:rsid w:val="00904444"/>
    <w:rsid w:val="00905C41"/>
    <w:rsid w:val="00905F5F"/>
    <w:rsid w:val="00913920"/>
    <w:rsid w:val="00914195"/>
    <w:rsid w:val="009164A3"/>
    <w:rsid w:val="00920C21"/>
    <w:rsid w:val="0092199F"/>
    <w:rsid w:val="00925006"/>
    <w:rsid w:val="00925834"/>
    <w:rsid w:val="00935830"/>
    <w:rsid w:val="00935928"/>
    <w:rsid w:val="0094066C"/>
    <w:rsid w:val="0094078E"/>
    <w:rsid w:val="009458AB"/>
    <w:rsid w:val="0094657A"/>
    <w:rsid w:val="0094705F"/>
    <w:rsid w:val="00952B6A"/>
    <w:rsid w:val="00956AD6"/>
    <w:rsid w:val="009608BC"/>
    <w:rsid w:val="00963FC3"/>
    <w:rsid w:val="00964033"/>
    <w:rsid w:val="00964B10"/>
    <w:rsid w:val="009767D3"/>
    <w:rsid w:val="00977067"/>
    <w:rsid w:val="00977170"/>
    <w:rsid w:val="00980AEC"/>
    <w:rsid w:val="00983A7F"/>
    <w:rsid w:val="00984358"/>
    <w:rsid w:val="00991EDB"/>
    <w:rsid w:val="0099349C"/>
    <w:rsid w:val="0099748B"/>
    <w:rsid w:val="00997C2A"/>
    <w:rsid w:val="009A1B7D"/>
    <w:rsid w:val="009A22A9"/>
    <w:rsid w:val="009A32D7"/>
    <w:rsid w:val="009A4FF6"/>
    <w:rsid w:val="009A5997"/>
    <w:rsid w:val="009A7A4C"/>
    <w:rsid w:val="009B0429"/>
    <w:rsid w:val="009B3B26"/>
    <w:rsid w:val="009C254F"/>
    <w:rsid w:val="009C342A"/>
    <w:rsid w:val="009D0E3C"/>
    <w:rsid w:val="009D11A0"/>
    <w:rsid w:val="009D21E5"/>
    <w:rsid w:val="009D7B76"/>
    <w:rsid w:val="009E1883"/>
    <w:rsid w:val="009E2C63"/>
    <w:rsid w:val="009E3804"/>
    <w:rsid w:val="009F06B8"/>
    <w:rsid w:val="009F2FE3"/>
    <w:rsid w:val="009F64ED"/>
    <w:rsid w:val="009F764A"/>
    <w:rsid w:val="00A007B6"/>
    <w:rsid w:val="00A012D6"/>
    <w:rsid w:val="00A01480"/>
    <w:rsid w:val="00A03A31"/>
    <w:rsid w:val="00A069B2"/>
    <w:rsid w:val="00A07F62"/>
    <w:rsid w:val="00A1508C"/>
    <w:rsid w:val="00A17B02"/>
    <w:rsid w:val="00A367F0"/>
    <w:rsid w:val="00A37C9B"/>
    <w:rsid w:val="00A37DE0"/>
    <w:rsid w:val="00A40850"/>
    <w:rsid w:val="00A41EF8"/>
    <w:rsid w:val="00A432FA"/>
    <w:rsid w:val="00A444F0"/>
    <w:rsid w:val="00A44708"/>
    <w:rsid w:val="00A44A05"/>
    <w:rsid w:val="00A5005A"/>
    <w:rsid w:val="00A51042"/>
    <w:rsid w:val="00A526E6"/>
    <w:rsid w:val="00A57F75"/>
    <w:rsid w:val="00A60B12"/>
    <w:rsid w:val="00A652AD"/>
    <w:rsid w:val="00A70960"/>
    <w:rsid w:val="00A72C40"/>
    <w:rsid w:val="00A742FB"/>
    <w:rsid w:val="00A74AC6"/>
    <w:rsid w:val="00A7551D"/>
    <w:rsid w:val="00A76650"/>
    <w:rsid w:val="00A76B16"/>
    <w:rsid w:val="00A81E93"/>
    <w:rsid w:val="00A86547"/>
    <w:rsid w:val="00A907D0"/>
    <w:rsid w:val="00A9354D"/>
    <w:rsid w:val="00A93754"/>
    <w:rsid w:val="00A970E9"/>
    <w:rsid w:val="00AA1898"/>
    <w:rsid w:val="00AA5C46"/>
    <w:rsid w:val="00AA7007"/>
    <w:rsid w:val="00AB20E1"/>
    <w:rsid w:val="00AB45BE"/>
    <w:rsid w:val="00AB60F1"/>
    <w:rsid w:val="00AB7089"/>
    <w:rsid w:val="00AB72C5"/>
    <w:rsid w:val="00AC07FF"/>
    <w:rsid w:val="00AC150E"/>
    <w:rsid w:val="00AC29DD"/>
    <w:rsid w:val="00AC3A01"/>
    <w:rsid w:val="00AC534F"/>
    <w:rsid w:val="00AC7C17"/>
    <w:rsid w:val="00AD051F"/>
    <w:rsid w:val="00AD0842"/>
    <w:rsid w:val="00AD0B25"/>
    <w:rsid w:val="00AD2045"/>
    <w:rsid w:val="00AD5DF5"/>
    <w:rsid w:val="00AD606A"/>
    <w:rsid w:val="00AE106B"/>
    <w:rsid w:val="00AE2BB3"/>
    <w:rsid w:val="00AE2F69"/>
    <w:rsid w:val="00AE5270"/>
    <w:rsid w:val="00AE73C9"/>
    <w:rsid w:val="00AE7824"/>
    <w:rsid w:val="00AE7FE1"/>
    <w:rsid w:val="00AF0006"/>
    <w:rsid w:val="00AF29E5"/>
    <w:rsid w:val="00AF2EA6"/>
    <w:rsid w:val="00AF38DD"/>
    <w:rsid w:val="00AF3956"/>
    <w:rsid w:val="00AF3E42"/>
    <w:rsid w:val="00AF6AC3"/>
    <w:rsid w:val="00B01296"/>
    <w:rsid w:val="00B02735"/>
    <w:rsid w:val="00B05BD3"/>
    <w:rsid w:val="00B06629"/>
    <w:rsid w:val="00B11AC4"/>
    <w:rsid w:val="00B14969"/>
    <w:rsid w:val="00B14994"/>
    <w:rsid w:val="00B150D9"/>
    <w:rsid w:val="00B15189"/>
    <w:rsid w:val="00B1529D"/>
    <w:rsid w:val="00B17A60"/>
    <w:rsid w:val="00B228BC"/>
    <w:rsid w:val="00B229E7"/>
    <w:rsid w:val="00B25F56"/>
    <w:rsid w:val="00B27484"/>
    <w:rsid w:val="00B3141E"/>
    <w:rsid w:val="00B32F6D"/>
    <w:rsid w:val="00B349BF"/>
    <w:rsid w:val="00B36505"/>
    <w:rsid w:val="00B40777"/>
    <w:rsid w:val="00B42F01"/>
    <w:rsid w:val="00B443A6"/>
    <w:rsid w:val="00B453F2"/>
    <w:rsid w:val="00B51D94"/>
    <w:rsid w:val="00B543A4"/>
    <w:rsid w:val="00B55ECF"/>
    <w:rsid w:val="00B5704B"/>
    <w:rsid w:val="00B6051A"/>
    <w:rsid w:val="00B76C11"/>
    <w:rsid w:val="00B7716C"/>
    <w:rsid w:val="00B80C3B"/>
    <w:rsid w:val="00B81B29"/>
    <w:rsid w:val="00B82380"/>
    <w:rsid w:val="00B8537F"/>
    <w:rsid w:val="00B9216F"/>
    <w:rsid w:val="00B92B50"/>
    <w:rsid w:val="00B966D6"/>
    <w:rsid w:val="00B9737C"/>
    <w:rsid w:val="00BA1AC9"/>
    <w:rsid w:val="00BA48DC"/>
    <w:rsid w:val="00BA4F05"/>
    <w:rsid w:val="00BA53B4"/>
    <w:rsid w:val="00BB0B45"/>
    <w:rsid w:val="00BB2A04"/>
    <w:rsid w:val="00BB3C0E"/>
    <w:rsid w:val="00BB6987"/>
    <w:rsid w:val="00BC118B"/>
    <w:rsid w:val="00BC1844"/>
    <w:rsid w:val="00BC3AE4"/>
    <w:rsid w:val="00BC3DDF"/>
    <w:rsid w:val="00BC64A1"/>
    <w:rsid w:val="00BD15DF"/>
    <w:rsid w:val="00BD2700"/>
    <w:rsid w:val="00BD2D76"/>
    <w:rsid w:val="00BD3674"/>
    <w:rsid w:val="00BD59EC"/>
    <w:rsid w:val="00BD65EE"/>
    <w:rsid w:val="00BD68C1"/>
    <w:rsid w:val="00BE3668"/>
    <w:rsid w:val="00BE5CF5"/>
    <w:rsid w:val="00BE65E5"/>
    <w:rsid w:val="00BF042E"/>
    <w:rsid w:val="00C00159"/>
    <w:rsid w:val="00C01256"/>
    <w:rsid w:val="00C01ED0"/>
    <w:rsid w:val="00C059A4"/>
    <w:rsid w:val="00C07537"/>
    <w:rsid w:val="00C10962"/>
    <w:rsid w:val="00C1217D"/>
    <w:rsid w:val="00C13B94"/>
    <w:rsid w:val="00C16A3F"/>
    <w:rsid w:val="00C16E56"/>
    <w:rsid w:val="00C173BD"/>
    <w:rsid w:val="00C322EC"/>
    <w:rsid w:val="00C32D0C"/>
    <w:rsid w:val="00C351ED"/>
    <w:rsid w:val="00C360B5"/>
    <w:rsid w:val="00C41E6A"/>
    <w:rsid w:val="00C4309C"/>
    <w:rsid w:val="00C43122"/>
    <w:rsid w:val="00C44FFE"/>
    <w:rsid w:val="00C456AE"/>
    <w:rsid w:val="00C46CD5"/>
    <w:rsid w:val="00C475CD"/>
    <w:rsid w:val="00C47ED6"/>
    <w:rsid w:val="00C53EEE"/>
    <w:rsid w:val="00C54299"/>
    <w:rsid w:val="00C5465C"/>
    <w:rsid w:val="00C5521A"/>
    <w:rsid w:val="00C55CB4"/>
    <w:rsid w:val="00C60434"/>
    <w:rsid w:val="00C6049F"/>
    <w:rsid w:val="00C63591"/>
    <w:rsid w:val="00C63DD1"/>
    <w:rsid w:val="00C6484E"/>
    <w:rsid w:val="00C64873"/>
    <w:rsid w:val="00C70925"/>
    <w:rsid w:val="00C717A5"/>
    <w:rsid w:val="00C71B08"/>
    <w:rsid w:val="00C745DF"/>
    <w:rsid w:val="00C7525B"/>
    <w:rsid w:val="00C76101"/>
    <w:rsid w:val="00C823B2"/>
    <w:rsid w:val="00C82687"/>
    <w:rsid w:val="00C82B4E"/>
    <w:rsid w:val="00C8405B"/>
    <w:rsid w:val="00C8535F"/>
    <w:rsid w:val="00C856A8"/>
    <w:rsid w:val="00C86C27"/>
    <w:rsid w:val="00C932DB"/>
    <w:rsid w:val="00C9797A"/>
    <w:rsid w:val="00CA0855"/>
    <w:rsid w:val="00CA4D60"/>
    <w:rsid w:val="00CB1448"/>
    <w:rsid w:val="00CB20BB"/>
    <w:rsid w:val="00CB2979"/>
    <w:rsid w:val="00CB3495"/>
    <w:rsid w:val="00CC03E8"/>
    <w:rsid w:val="00CC22B3"/>
    <w:rsid w:val="00CC23E5"/>
    <w:rsid w:val="00CC267C"/>
    <w:rsid w:val="00CC2B22"/>
    <w:rsid w:val="00CD2012"/>
    <w:rsid w:val="00CD3467"/>
    <w:rsid w:val="00CD3594"/>
    <w:rsid w:val="00CD4803"/>
    <w:rsid w:val="00CE065A"/>
    <w:rsid w:val="00CE074A"/>
    <w:rsid w:val="00CE1E77"/>
    <w:rsid w:val="00CE422E"/>
    <w:rsid w:val="00CE51E8"/>
    <w:rsid w:val="00CE54CF"/>
    <w:rsid w:val="00CF02B3"/>
    <w:rsid w:val="00CF13AD"/>
    <w:rsid w:val="00CF4117"/>
    <w:rsid w:val="00CF6163"/>
    <w:rsid w:val="00CF7A62"/>
    <w:rsid w:val="00D00D2E"/>
    <w:rsid w:val="00D01A2F"/>
    <w:rsid w:val="00D0441E"/>
    <w:rsid w:val="00D07154"/>
    <w:rsid w:val="00D0740D"/>
    <w:rsid w:val="00D07763"/>
    <w:rsid w:val="00D07AAA"/>
    <w:rsid w:val="00D11F12"/>
    <w:rsid w:val="00D12915"/>
    <w:rsid w:val="00D13A32"/>
    <w:rsid w:val="00D17C87"/>
    <w:rsid w:val="00D17E9B"/>
    <w:rsid w:val="00D23457"/>
    <w:rsid w:val="00D25230"/>
    <w:rsid w:val="00D306ED"/>
    <w:rsid w:val="00D31B0B"/>
    <w:rsid w:val="00D338E5"/>
    <w:rsid w:val="00D35547"/>
    <w:rsid w:val="00D40082"/>
    <w:rsid w:val="00D40D24"/>
    <w:rsid w:val="00D43BA3"/>
    <w:rsid w:val="00D4543B"/>
    <w:rsid w:val="00D47BD1"/>
    <w:rsid w:val="00D505A5"/>
    <w:rsid w:val="00D51AFC"/>
    <w:rsid w:val="00D560BB"/>
    <w:rsid w:val="00D600C3"/>
    <w:rsid w:val="00D62E47"/>
    <w:rsid w:val="00D64110"/>
    <w:rsid w:val="00D679DF"/>
    <w:rsid w:val="00D72578"/>
    <w:rsid w:val="00D7417E"/>
    <w:rsid w:val="00D75014"/>
    <w:rsid w:val="00D7617F"/>
    <w:rsid w:val="00D762AB"/>
    <w:rsid w:val="00D77969"/>
    <w:rsid w:val="00D84549"/>
    <w:rsid w:val="00D84938"/>
    <w:rsid w:val="00D877B4"/>
    <w:rsid w:val="00D90610"/>
    <w:rsid w:val="00D92274"/>
    <w:rsid w:val="00D9480C"/>
    <w:rsid w:val="00D9537F"/>
    <w:rsid w:val="00D9582B"/>
    <w:rsid w:val="00D97188"/>
    <w:rsid w:val="00DA0A24"/>
    <w:rsid w:val="00DA0C13"/>
    <w:rsid w:val="00DA162D"/>
    <w:rsid w:val="00DA454A"/>
    <w:rsid w:val="00DA4FAC"/>
    <w:rsid w:val="00DB04D7"/>
    <w:rsid w:val="00DB4A4D"/>
    <w:rsid w:val="00DB7AFC"/>
    <w:rsid w:val="00DC03D8"/>
    <w:rsid w:val="00DC0470"/>
    <w:rsid w:val="00DC1001"/>
    <w:rsid w:val="00DC2E8F"/>
    <w:rsid w:val="00DC3AAB"/>
    <w:rsid w:val="00DC59B3"/>
    <w:rsid w:val="00DC6FE1"/>
    <w:rsid w:val="00DD0300"/>
    <w:rsid w:val="00DD0905"/>
    <w:rsid w:val="00DD5291"/>
    <w:rsid w:val="00DE34BE"/>
    <w:rsid w:val="00DE4DC5"/>
    <w:rsid w:val="00DE5121"/>
    <w:rsid w:val="00DE7C8F"/>
    <w:rsid w:val="00DF08C1"/>
    <w:rsid w:val="00DF1EAF"/>
    <w:rsid w:val="00DF3B23"/>
    <w:rsid w:val="00DF3C85"/>
    <w:rsid w:val="00E00B7F"/>
    <w:rsid w:val="00E117F9"/>
    <w:rsid w:val="00E149AA"/>
    <w:rsid w:val="00E1566C"/>
    <w:rsid w:val="00E16239"/>
    <w:rsid w:val="00E16B3A"/>
    <w:rsid w:val="00E17D23"/>
    <w:rsid w:val="00E20D93"/>
    <w:rsid w:val="00E21F10"/>
    <w:rsid w:val="00E24963"/>
    <w:rsid w:val="00E2534D"/>
    <w:rsid w:val="00E27DE2"/>
    <w:rsid w:val="00E36A4D"/>
    <w:rsid w:val="00E36FDF"/>
    <w:rsid w:val="00E3798E"/>
    <w:rsid w:val="00E37AAE"/>
    <w:rsid w:val="00E40D09"/>
    <w:rsid w:val="00E4117C"/>
    <w:rsid w:val="00E43CD7"/>
    <w:rsid w:val="00E47A6E"/>
    <w:rsid w:val="00E47FA9"/>
    <w:rsid w:val="00E50749"/>
    <w:rsid w:val="00E53FB8"/>
    <w:rsid w:val="00E56C61"/>
    <w:rsid w:val="00E57C08"/>
    <w:rsid w:val="00E60D63"/>
    <w:rsid w:val="00E73F01"/>
    <w:rsid w:val="00E74C8A"/>
    <w:rsid w:val="00E74DE7"/>
    <w:rsid w:val="00E7587B"/>
    <w:rsid w:val="00E75DB9"/>
    <w:rsid w:val="00E826A5"/>
    <w:rsid w:val="00E839AC"/>
    <w:rsid w:val="00E84FA3"/>
    <w:rsid w:val="00E86D77"/>
    <w:rsid w:val="00E87BC9"/>
    <w:rsid w:val="00E91FED"/>
    <w:rsid w:val="00E92AFE"/>
    <w:rsid w:val="00EA052C"/>
    <w:rsid w:val="00EA2ED5"/>
    <w:rsid w:val="00EA491A"/>
    <w:rsid w:val="00EA70D3"/>
    <w:rsid w:val="00EB0234"/>
    <w:rsid w:val="00EB064A"/>
    <w:rsid w:val="00EB1157"/>
    <w:rsid w:val="00EB2E4E"/>
    <w:rsid w:val="00EB7FCF"/>
    <w:rsid w:val="00EC134E"/>
    <w:rsid w:val="00EC595F"/>
    <w:rsid w:val="00EC7F73"/>
    <w:rsid w:val="00ED07AA"/>
    <w:rsid w:val="00ED55C2"/>
    <w:rsid w:val="00ED58B2"/>
    <w:rsid w:val="00ED619E"/>
    <w:rsid w:val="00EE415D"/>
    <w:rsid w:val="00EE44D4"/>
    <w:rsid w:val="00EE6312"/>
    <w:rsid w:val="00EE6DAE"/>
    <w:rsid w:val="00EF1439"/>
    <w:rsid w:val="00EF1D81"/>
    <w:rsid w:val="00EF29BC"/>
    <w:rsid w:val="00EF3039"/>
    <w:rsid w:val="00EF39B5"/>
    <w:rsid w:val="00EF4828"/>
    <w:rsid w:val="00EF4846"/>
    <w:rsid w:val="00EF4B12"/>
    <w:rsid w:val="00EF7E04"/>
    <w:rsid w:val="00F00EEF"/>
    <w:rsid w:val="00F0122D"/>
    <w:rsid w:val="00F0230E"/>
    <w:rsid w:val="00F05E6F"/>
    <w:rsid w:val="00F06037"/>
    <w:rsid w:val="00F21833"/>
    <w:rsid w:val="00F225BF"/>
    <w:rsid w:val="00F25124"/>
    <w:rsid w:val="00F2657F"/>
    <w:rsid w:val="00F26BB7"/>
    <w:rsid w:val="00F27679"/>
    <w:rsid w:val="00F27739"/>
    <w:rsid w:val="00F34680"/>
    <w:rsid w:val="00F3514E"/>
    <w:rsid w:val="00F35F53"/>
    <w:rsid w:val="00F36E37"/>
    <w:rsid w:val="00F41A6E"/>
    <w:rsid w:val="00F42FCC"/>
    <w:rsid w:val="00F43C98"/>
    <w:rsid w:val="00F47FF9"/>
    <w:rsid w:val="00F504B5"/>
    <w:rsid w:val="00F547D9"/>
    <w:rsid w:val="00F609A1"/>
    <w:rsid w:val="00F60DCF"/>
    <w:rsid w:val="00F61E70"/>
    <w:rsid w:val="00F6608B"/>
    <w:rsid w:val="00F66FBD"/>
    <w:rsid w:val="00F676B6"/>
    <w:rsid w:val="00F722DB"/>
    <w:rsid w:val="00F732F5"/>
    <w:rsid w:val="00F76634"/>
    <w:rsid w:val="00F776A3"/>
    <w:rsid w:val="00F80537"/>
    <w:rsid w:val="00F96067"/>
    <w:rsid w:val="00FA015D"/>
    <w:rsid w:val="00FA2031"/>
    <w:rsid w:val="00FA63B3"/>
    <w:rsid w:val="00FA67E5"/>
    <w:rsid w:val="00FB059B"/>
    <w:rsid w:val="00FB21A8"/>
    <w:rsid w:val="00FB3C72"/>
    <w:rsid w:val="00FB5299"/>
    <w:rsid w:val="00FC110D"/>
    <w:rsid w:val="00FC1E02"/>
    <w:rsid w:val="00FC3DFD"/>
    <w:rsid w:val="00FC48FF"/>
    <w:rsid w:val="00FC6F73"/>
    <w:rsid w:val="00FC7E42"/>
    <w:rsid w:val="00FD1099"/>
    <w:rsid w:val="00FD3111"/>
    <w:rsid w:val="00FD3CF7"/>
    <w:rsid w:val="00FD64F0"/>
    <w:rsid w:val="00FE013B"/>
    <w:rsid w:val="00FE1793"/>
    <w:rsid w:val="00FE4E3A"/>
    <w:rsid w:val="00FE51CB"/>
    <w:rsid w:val="00FF35F3"/>
    <w:rsid w:val="00FF3DF0"/>
    <w:rsid w:val="00FF476E"/>
    <w:rsid w:val="00FF4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5C68C3"/>
  <w15:docId w15:val="{5FF93CA8-0213-49B3-9B88-5380B9BC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8" w:defSemiHidden="0" w:defUnhideWhenUsed="0" w:defQFormat="0" w:count="376">
    <w:lsdException w:name="Normal" w:uiPriority="6"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3"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24"/>
    <w:lsdException w:name="toc 4" w:semiHidden="1" w:uiPriority="24"/>
    <w:lsdException w:name="toc 5" w:semiHidden="1" w:uiPriority="24"/>
    <w:lsdException w:name="toc 6" w:semiHidden="1" w:uiPriority="24"/>
    <w:lsdException w:name="toc 7" w:semiHidden="1" w:uiPriority="24"/>
    <w:lsdException w:name="toc 8" w:semiHidden="1" w:uiPriority="24"/>
    <w:lsdException w:name="toc 9" w:semiHidden="1" w:uiPriority="24"/>
    <w:lsdException w:name="Normal Indent" w:semiHidden="1" w:unhideWhenUsed="1"/>
    <w:lsdException w:name="footnote text" w:semiHidden="1" w:unhideWhenUsed="1"/>
    <w:lsdException w:name="annotation text" w:semiHidden="1" w:unhideWhenUsed="1"/>
    <w:lsdException w:name="header" w:semiHidden="1" w:uiPriority="25" w:unhideWhenUsed="1"/>
    <w:lsdException w:name="footer" w:semiHidden="1" w:uiPriority="25" w:unhideWhenUsed="1"/>
    <w:lsdException w:name="index heading" w:semiHidden="1" w:unhideWhenUsed="1"/>
    <w:lsdException w:name="caption" w:semiHidden="1" w:uiPriority="1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8"/>
    <w:lsdException w:name="List Bullet" w:semiHidden="1" w:uiPriority="4" w:unhideWhenUsed="1" w:qFormat="1"/>
    <w:lsdException w:name="List Number" w:semiHidden="1" w:uiPriority="9" w:unhideWhenUsed="1"/>
    <w:lsdException w:name="List 2" w:uiPriority="8"/>
    <w:lsdException w:name="List 3" w:uiPriority="8"/>
    <w:lsdException w:name="List 4" w:semiHidden="1" w:unhideWhenUsed="1"/>
    <w:lsdException w:name="List 5" w:semiHidden="1" w:unhideWhenUsed="1"/>
    <w:lsdException w:name="List Bullet 2" w:semiHidden="1" w:uiPriority="4" w:unhideWhenUsed="1"/>
    <w:lsdException w:name="List Bullet 3" w:semiHidden="1" w:uiPriority="4" w:unhideWhenUsed="1"/>
    <w:lsdException w:name="List Bullet 4" w:semiHidden="1" w:unhideWhenUsed="1"/>
    <w:lsdException w:name="List Bullet 5" w:semiHidden="1" w:unhideWhenUsed="1"/>
    <w:lsdException w:name="List Number 2" w:uiPriority="9"/>
    <w:lsdException w:name="List Number 3" w:uiPriority="9"/>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uiPriority="18"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230351"/>
    <w:pPr>
      <w:spacing w:line="240" w:lineRule="atLeast"/>
      <w:contextualSpacing/>
    </w:pPr>
    <w:rPr>
      <w:sz w:val="17"/>
    </w:rPr>
  </w:style>
  <w:style w:type="paragraph" w:styleId="Heading1">
    <w:name w:val="heading 1"/>
    <w:basedOn w:val="Normal"/>
    <w:next w:val="Normal"/>
    <w:link w:val="Heading1Char"/>
    <w:uiPriority w:val="3"/>
    <w:qFormat/>
    <w:rsid w:val="00AD051F"/>
    <w:pPr>
      <w:keepNext/>
      <w:keepLines/>
      <w:numPr>
        <w:ilvl w:val="1"/>
        <w:numId w:val="14"/>
      </w:numPr>
      <w:spacing w:before="480" w:after="480" w:line="240" w:lineRule="auto"/>
      <w:outlineLvl w:val="0"/>
    </w:pPr>
    <w:rPr>
      <w:rFonts w:asciiTheme="majorHAnsi" w:eastAsiaTheme="majorEastAsia" w:hAnsiTheme="majorHAnsi" w:cstheme="majorBidi"/>
      <w:color w:val="0C008E" w:themeColor="text2"/>
      <w:sz w:val="36"/>
      <w:szCs w:val="32"/>
    </w:rPr>
  </w:style>
  <w:style w:type="paragraph" w:styleId="Heading2">
    <w:name w:val="heading 2"/>
    <w:basedOn w:val="Normal"/>
    <w:next w:val="Normal"/>
    <w:link w:val="Heading2Char"/>
    <w:uiPriority w:val="3"/>
    <w:unhideWhenUsed/>
    <w:qFormat/>
    <w:rsid w:val="00AD051F"/>
    <w:pPr>
      <w:keepNext/>
      <w:keepLines/>
      <w:numPr>
        <w:ilvl w:val="2"/>
        <w:numId w:val="14"/>
      </w:numPr>
      <w:spacing w:before="200" w:after="100"/>
      <w:outlineLvl w:val="1"/>
    </w:pPr>
    <w:rPr>
      <w:rFonts w:asciiTheme="majorHAnsi" w:eastAsiaTheme="majorEastAsia" w:hAnsiTheme="majorHAnsi" w:cstheme="majorBidi"/>
      <w:color w:val="0C008E" w:themeColor="text2"/>
      <w:sz w:val="24"/>
      <w:szCs w:val="26"/>
    </w:rPr>
  </w:style>
  <w:style w:type="paragraph" w:styleId="Heading3">
    <w:name w:val="heading 3"/>
    <w:basedOn w:val="Normal"/>
    <w:next w:val="Normal"/>
    <w:link w:val="Heading3Char"/>
    <w:uiPriority w:val="3"/>
    <w:unhideWhenUsed/>
    <w:qFormat/>
    <w:rsid w:val="00AD051F"/>
    <w:pPr>
      <w:keepNext/>
      <w:keepLines/>
      <w:numPr>
        <w:ilvl w:val="3"/>
        <w:numId w:val="14"/>
      </w:numPr>
      <w:spacing w:before="320"/>
      <w:outlineLvl w:val="2"/>
    </w:pPr>
    <w:rPr>
      <w:rFonts w:asciiTheme="majorHAnsi" w:eastAsiaTheme="majorEastAsia" w:hAnsiTheme="majorHAnsi" w:cstheme="majorBidi"/>
      <w:color w:val="0C008E" w:themeColor="text2"/>
      <w:sz w:val="20"/>
      <w:szCs w:val="24"/>
    </w:rPr>
  </w:style>
  <w:style w:type="paragraph" w:styleId="Heading4">
    <w:name w:val="heading 4"/>
    <w:basedOn w:val="Normal"/>
    <w:next w:val="Normal"/>
    <w:link w:val="Heading4Char"/>
    <w:uiPriority w:val="3"/>
    <w:unhideWhenUsed/>
    <w:qFormat/>
    <w:rsid w:val="00AD051F"/>
    <w:pPr>
      <w:keepNext/>
      <w:keepLines/>
      <w:spacing w:before="280"/>
      <w:outlineLvl w:val="3"/>
    </w:pPr>
    <w:rPr>
      <w:rFonts w:asciiTheme="majorHAnsi" w:eastAsiaTheme="majorEastAsia" w:hAnsiTheme="majorHAnsi" w:cstheme="majorBidi"/>
      <w:iCs/>
      <w:color w:val="08006A" w:themeColor="accent1" w:themeShade="BF"/>
    </w:rPr>
  </w:style>
  <w:style w:type="paragraph" w:styleId="Heading5">
    <w:name w:val="heading 5"/>
    <w:basedOn w:val="Normal"/>
    <w:next w:val="Normal"/>
    <w:link w:val="Heading5Char"/>
    <w:uiPriority w:val="3"/>
    <w:qFormat/>
    <w:rsid w:val="00AD051F"/>
    <w:pPr>
      <w:keepNext/>
      <w:keepLines/>
      <w:spacing w:before="80" w:after="80"/>
      <w:outlineLvl w:val="4"/>
    </w:pPr>
    <w:rPr>
      <w:rFonts w:asciiTheme="majorHAnsi" w:eastAsiaTheme="majorEastAsia" w:hAnsiTheme="majorHAnsi" w:cstheme="majorBidi"/>
      <w:i/>
      <w:color w:val="08006A" w:themeColor="accent1" w:themeShade="BF"/>
      <w:u w:val="single"/>
    </w:rPr>
  </w:style>
  <w:style w:type="paragraph" w:styleId="Heading6">
    <w:name w:val="heading 6"/>
    <w:basedOn w:val="Normal"/>
    <w:next w:val="Normal"/>
    <w:link w:val="Heading6Char"/>
    <w:uiPriority w:val="3"/>
    <w:unhideWhenUsed/>
    <w:qFormat/>
    <w:rsid w:val="00AD051F"/>
    <w:pPr>
      <w:keepNext/>
      <w:keepLines/>
      <w:spacing w:before="40" w:after="0"/>
      <w:outlineLvl w:val="5"/>
    </w:pPr>
    <w:rPr>
      <w:rFonts w:asciiTheme="majorHAnsi" w:eastAsiaTheme="majorEastAsia" w:hAnsiTheme="majorHAnsi" w:cstheme="majorBidi"/>
      <w:color w:val="050046" w:themeColor="accent1" w:themeShade="7F"/>
    </w:rPr>
  </w:style>
  <w:style w:type="paragraph" w:styleId="Heading7">
    <w:name w:val="heading 7"/>
    <w:basedOn w:val="Normal"/>
    <w:next w:val="Normal"/>
    <w:link w:val="Heading7Char"/>
    <w:uiPriority w:val="98"/>
    <w:semiHidden/>
    <w:unhideWhenUsed/>
    <w:qFormat/>
    <w:rsid w:val="00E87BC9"/>
    <w:pPr>
      <w:keepNext/>
      <w:keepLines/>
      <w:spacing w:before="40" w:after="0"/>
      <w:outlineLvl w:val="6"/>
    </w:pPr>
    <w:rPr>
      <w:rFonts w:asciiTheme="majorHAnsi" w:eastAsiaTheme="majorEastAsia" w:hAnsiTheme="majorHAnsi" w:cstheme="majorBidi"/>
      <w:i/>
      <w:iCs/>
      <w:color w:val="050046" w:themeColor="accent1" w:themeShade="7F"/>
    </w:rPr>
  </w:style>
  <w:style w:type="paragraph" w:styleId="Heading8">
    <w:name w:val="heading 8"/>
    <w:basedOn w:val="Normal"/>
    <w:next w:val="Normal"/>
    <w:link w:val="Heading8Char"/>
    <w:uiPriority w:val="98"/>
    <w:semiHidden/>
    <w:unhideWhenUsed/>
    <w:qFormat/>
    <w:rsid w:val="00E87BC9"/>
    <w:pPr>
      <w:keepNext/>
      <w:keepLines/>
      <w:spacing w:before="40" w:after="0"/>
      <w:outlineLvl w:val="7"/>
    </w:pPr>
    <w:rPr>
      <w:rFonts w:asciiTheme="majorHAnsi" w:eastAsiaTheme="majorEastAsia" w:hAnsiTheme="majorHAnsi" w:cstheme="majorBidi"/>
      <w:color w:val="363B59" w:themeColor="text1" w:themeTint="D8"/>
      <w:sz w:val="21"/>
      <w:szCs w:val="21"/>
    </w:rPr>
  </w:style>
  <w:style w:type="paragraph" w:styleId="Heading9">
    <w:name w:val="heading 9"/>
    <w:basedOn w:val="Normal"/>
    <w:next w:val="Normal"/>
    <w:link w:val="Heading9Char"/>
    <w:uiPriority w:val="98"/>
    <w:semiHidden/>
    <w:unhideWhenUsed/>
    <w:qFormat/>
    <w:rsid w:val="00E87BC9"/>
    <w:pPr>
      <w:keepNext/>
      <w:keepLines/>
      <w:spacing w:before="40" w:after="0"/>
      <w:outlineLvl w:val="8"/>
    </w:pPr>
    <w:rPr>
      <w:rFonts w:asciiTheme="majorHAnsi" w:eastAsiaTheme="majorEastAsia" w:hAnsiTheme="majorHAnsi" w:cstheme="majorBidi"/>
      <w:i/>
      <w:iCs/>
      <w:color w:val="363B5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AD051F"/>
    <w:rPr>
      <w:rFonts w:asciiTheme="majorHAnsi" w:eastAsiaTheme="majorEastAsia" w:hAnsiTheme="majorHAnsi" w:cstheme="majorBidi"/>
      <w:color w:val="0C008E" w:themeColor="text2"/>
      <w:sz w:val="36"/>
      <w:szCs w:val="32"/>
    </w:rPr>
  </w:style>
  <w:style w:type="character" w:customStyle="1" w:styleId="Heading2Char">
    <w:name w:val="Heading 2 Char"/>
    <w:basedOn w:val="DefaultParagraphFont"/>
    <w:link w:val="Heading2"/>
    <w:uiPriority w:val="3"/>
    <w:rsid w:val="00AD051F"/>
    <w:rPr>
      <w:rFonts w:asciiTheme="majorHAnsi" w:eastAsiaTheme="majorEastAsia" w:hAnsiTheme="majorHAnsi" w:cstheme="majorBidi"/>
      <w:color w:val="0C008E" w:themeColor="text2"/>
      <w:sz w:val="24"/>
      <w:szCs w:val="26"/>
    </w:rPr>
  </w:style>
  <w:style w:type="character" w:customStyle="1" w:styleId="Heading3Char">
    <w:name w:val="Heading 3 Char"/>
    <w:basedOn w:val="DefaultParagraphFont"/>
    <w:link w:val="Heading3"/>
    <w:uiPriority w:val="3"/>
    <w:rsid w:val="00AD051F"/>
    <w:rPr>
      <w:rFonts w:asciiTheme="majorHAnsi" w:eastAsiaTheme="majorEastAsia" w:hAnsiTheme="majorHAnsi" w:cstheme="majorBidi"/>
      <w:color w:val="0C008E" w:themeColor="text2"/>
      <w:sz w:val="20"/>
      <w:szCs w:val="24"/>
    </w:rPr>
  </w:style>
  <w:style w:type="character" w:customStyle="1" w:styleId="Heading4Char">
    <w:name w:val="Heading 4 Char"/>
    <w:basedOn w:val="DefaultParagraphFont"/>
    <w:link w:val="Heading4"/>
    <w:uiPriority w:val="3"/>
    <w:rsid w:val="00AD051F"/>
    <w:rPr>
      <w:rFonts w:asciiTheme="majorHAnsi" w:eastAsiaTheme="majorEastAsia" w:hAnsiTheme="majorHAnsi" w:cstheme="majorBidi"/>
      <w:iCs/>
      <w:color w:val="08006A" w:themeColor="accent1" w:themeShade="BF"/>
      <w:sz w:val="17"/>
    </w:rPr>
  </w:style>
  <w:style w:type="paragraph" w:customStyle="1" w:styleId="CoverText">
    <w:name w:val="Cover Text"/>
    <w:basedOn w:val="Normal"/>
    <w:next w:val="CoverSubtext"/>
    <w:uiPriority w:val="98"/>
    <w:semiHidden/>
    <w:qFormat/>
    <w:rsid w:val="00C6484E"/>
    <w:pPr>
      <w:spacing w:after="0" w:line="240" w:lineRule="auto"/>
    </w:pPr>
    <w:rPr>
      <w:b/>
      <w:color w:val="FFFF9C" w:themeColor="accent4"/>
      <w:kern w:val="28"/>
      <w:sz w:val="56"/>
      <w:lang w:val="en-US"/>
    </w:rPr>
  </w:style>
  <w:style w:type="paragraph" w:customStyle="1" w:styleId="CoverSubtext">
    <w:name w:val="Cover Subtext"/>
    <w:basedOn w:val="Normal"/>
    <w:uiPriority w:val="98"/>
    <w:semiHidden/>
    <w:qFormat/>
    <w:rsid w:val="00C6484E"/>
    <w:pPr>
      <w:spacing w:before="320" w:line="240" w:lineRule="auto"/>
    </w:pPr>
    <w:rPr>
      <w:color w:val="FFFFFF" w:themeColor="background1"/>
      <w:sz w:val="24"/>
    </w:rPr>
  </w:style>
  <w:style w:type="paragraph" w:customStyle="1" w:styleId="IntroLarge">
    <w:name w:val="Intro Large"/>
    <w:basedOn w:val="Normal"/>
    <w:uiPriority w:val="14"/>
    <w:qFormat/>
    <w:rsid w:val="00AD051F"/>
    <w:pPr>
      <w:spacing w:after="240" w:line="240" w:lineRule="auto"/>
      <w:ind w:right="1134"/>
      <w:contextualSpacing w:val="0"/>
    </w:pPr>
    <w:rPr>
      <w:rFonts w:ascii="Montserrat Light" w:hAnsi="Montserrat Light"/>
      <w:color w:val="0C008E" w:themeColor="text2"/>
      <w:sz w:val="42"/>
    </w:rPr>
  </w:style>
  <w:style w:type="numbering" w:customStyle="1" w:styleId="ETHOSBULLETS0">
    <w:name w:val="ETHOS BULLETS"/>
    <w:uiPriority w:val="7"/>
    <w:rsid w:val="00AD051F"/>
    <w:pPr>
      <w:numPr>
        <w:numId w:val="9"/>
      </w:numPr>
    </w:pPr>
  </w:style>
  <w:style w:type="paragraph" w:styleId="ListBullet">
    <w:name w:val="List Bullet"/>
    <w:basedOn w:val="Normal"/>
    <w:uiPriority w:val="4"/>
    <w:qFormat/>
    <w:rsid w:val="00AD051F"/>
    <w:pPr>
      <w:numPr>
        <w:numId w:val="16"/>
      </w:numPr>
      <w:spacing w:after="80"/>
      <w:contextualSpacing w:val="0"/>
    </w:pPr>
  </w:style>
  <w:style w:type="paragraph" w:styleId="ListBullet2">
    <w:name w:val="List Bullet 2"/>
    <w:basedOn w:val="Normal"/>
    <w:uiPriority w:val="4"/>
    <w:rsid w:val="00AD051F"/>
    <w:pPr>
      <w:numPr>
        <w:ilvl w:val="1"/>
        <w:numId w:val="16"/>
      </w:numPr>
      <w:spacing w:after="80"/>
    </w:pPr>
  </w:style>
  <w:style w:type="paragraph" w:styleId="ListBullet3">
    <w:name w:val="List Bullet 3"/>
    <w:basedOn w:val="Normal"/>
    <w:uiPriority w:val="4"/>
    <w:rsid w:val="00AD051F"/>
    <w:pPr>
      <w:numPr>
        <w:ilvl w:val="2"/>
        <w:numId w:val="16"/>
      </w:numPr>
      <w:spacing w:after="80"/>
    </w:pPr>
  </w:style>
  <w:style w:type="table" w:styleId="TableGrid">
    <w:name w:val="Table Grid"/>
    <w:basedOn w:val="TableNormal"/>
    <w:uiPriority w:val="98"/>
    <w:rsid w:val="0055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11"/>
    <w:qFormat/>
    <w:rsid w:val="00AD051F"/>
    <w:pPr>
      <w:tabs>
        <w:tab w:val="left" w:pos="1134"/>
      </w:tabs>
      <w:spacing w:before="80" w:after="80" w:line="240" w:lineRule="auto"/>
    </w:pPr>
    <w:rPr>
      <w:rFonts w:asciiTheme="majorHAnsi" w:hAnsiTheme="majorHAnsi"/>
      <w:i/>
      <w:iCs/>
      <w:color w:val="0C008E" w:themeColor="text2"/>
      <w:szCs w:val="18"/>
    </w:rPr>
  </w:style>
  <w:style w:type="paragraph" w:styleId="Header">
    <w:name w:val="header"/>
    <w:basedOn w:val="Normal"/>
    <w:link w:val="HeaderChar"/>
    <w:uiPriority w:val="25"/>
    <w:unhideWhenUsed/>
    <w:rsid w:val="00AD051F"/>
    <w:pPr>
      <w:tabs>
        <w:tab w:val="center" w:pos="4513"/>
        <w:tab w:val="right" w:pos="9026"/>
      </w:tabs>
      <w:spacing w:after="0" w:line="240" w:lineRule="auto"/>
    </w:pPr>
  </w:style>
  <w:style w:type="character" w:customStyle="1" w:styleId="HeaderChar">
    <w:name w:val="Header Char"/>
    <w:basedOn w:val="DefaultParagraphFont"/>
    <w:link w:val="Header"/>
    <w:uiPriority w:val="25"/>
    <w:rsid w:val="00AD051F"/>
    <w:rPr>
      <w:sz w:val="17"/>
    </w:rPr>
  </w:style>
  <w:style w:type="paragraph" w:styleId="Footer">
    <w:name w:val="footer"/>
    <w:basedOn w:val="Normal"/>
    <w:link w:val="FooterChar"/>
    <w:uiPriority w:val="25"/>
    <w:unhideWhenUsed/>
    <w:rsid w:val="00AD051F"/>
    <w:pPr>
      <w:tabs>
        <w:tab w:val="center" w:pos="4513"/>
        <w:tab w:val="right" w:pos="9026"/>
      </w:tabs>
      <w:spacing w:before="40" w:after="40" w:line="240" w:lineRule="auto"/>
      <w:contextualSpacing w:val="0"/>
    </w:pPr>
    <w:rPr>
      <w:color w:val="1D2030" w:themeColor="text1"/>
      <w:sz w:val="14"/>
    </w:rPr>
  </w:style>
  <w:style w:type="character" w:customStyle="1" w:styleId="FooterChar">
    <w:name w:val="Footer Char"/>
    <w:basedOn w:val="DefaultParagraphFont"/>
    <w:link w:val="Footer"/>
    <w:uiPriority w:val="25"/>
    <w:rsid w:val="00AD051F"/>
    <w:rPr>
      <w:color w:val="1D2030" w:themeColor="text1"/>
      <w:sz w:val="14"/>
    </w:rPr>
  </w:style>
  <w:style w:type="paragraph" w:customStyle="1" w:styleId="DocDetails">
    <w:name w:val="Doc Details"/>
    <w:basedOn w:val="Normal"/>
    <w:uiPriority w:val="98"/>
    <w:semiHidden/>
    <w:qFormat/>
    <w:rsid w:val="00143A59"/>
    <w:pPr>
      <w:spacing w:before="120" w:after="0"/>
    </w:pPr>
    <w:rPr>
      <w:rFonts w:cs="Times New Roman (Body CS)"/>
      <w:color w:val="FFFFFF" w:themeColor="background1"/>
      <w:szCs w:val="24"/>
    </w:rPr>
  </w:style>
  <w:style w:type="paragraph" w:customStyle="1" w:styleId="DocDate">
    <w:name w:val="Doc Date"/>
    <w:basedOn w:val="DocDetails"/>
    <w:uiPriority w:val="98"/>
    <w:semiHidden/>
    <w:qFormat/>
    <w:rsid w:val="00C6484E"/>
    <w:rPr>
      <w:b/>
      <w:color w:val="FFFF9C" w:themeColor="accent4"/>
    </w:rPr>
  </w:style>
  <w:style w:type="paragraph" w:customStyle="1" w:styleId="Imagecredit">
    <w:name w:val="Image credit"/>
    <w:basedOn w:val="Normal"/>
    <w:uiPriority w:val="98"/>
    <w:qFormat/>
    <w:rsid w:val="00C6484E"/>
    <w:pPr>
      <w:spacing w:before="80" w:after="80" w:line="200" w:lineRule="atLeast"/>
      <w:contextualSpacing w:val="0"/>
    </w:pPr>
    <w:rPr>
      <w:rFonts w:cs="Times New Roman (Body CS)"/>
      <w:color w:val="1D2030" w:themeColor="text1"/>
      <w:sz w:val="14"/>
      <w:szCs w:val="24"/>
    </w:rPr>
  </w:style>
  <w:style w:type="paragraph" w:styleId="TOCHeading">
    <w:name w:val="TOC Heading"/>
    <w:basedOn w:val="Heading1"/>
    <w:next w:val="Normal"/>
    <w:uiPriority w:val="18"/>
    <w:qFormat/>
    <w:rsid w:val="00AD051F"/>
    <w:pPr>
      <w:numPr>
        <w:ilvl w:val="0"/>
        <w:numId w:val="0"/>
      </w:numPr>
      <w:spacing w:before="0" w:after="1440"/>
      <w:outlineLvl w:val="9"/>
    </w:pPr>
  </w:style>
  <w:style w:type="paragraph" w:styleId="NoSpacing">
    <w:name w:val="No Spacing"/>
    <w:aliases w:val="Cl55 Table response"/>
    <w:link w:val="NoSpacingChar"/>
    <w:uiPriority w:val="1"/>
    <w:qFormat/>
    <w:rsid w:val="00AD051F"/>
    <w:pPr>
      <w:spacing w:after="0" w:line="240" w:lineRule="atLeast"/>
    </w:pPr>
    <w:rPr>
      <w:sz w:val="17"/>
    </w:rPr>
  </w:style>
  <w:style w:type="paragraph" w:styleId="TOC1">
    <w:name w:val="toc 1"/>
    <w:basedOn w:val="Normal"/>
    <w:next w:val="Normal"/>
    <w:autoRedefine/>
    <w:uiPriority w:val="39"/>
    <w:rsid w:val="00A432FA"/>
    <w:pPr>
      <w:pBdr>
        <w:top w:val="single" w:sz="4" w:space="1" w:color="FFFFFF" w:themeColor="background1"/>
      </w:pBdr>
      <w:tabs>
        <w:tab w:val="left" w:pos="709"/>
        <w:tab w:val="right" w:leader="dot" w:pos="10196"/>
      </w:tabs>
      <w:spacing w:before="240" w:after="60"/>
      <w:contextualSpacing w:val="0"/>
    </w:pPr>
    <w:rPr>
      <w:rFonts w:asciiTheme="majorHAnsi" w:hAnsiTheme="majorHAnsi"/>
      <w:color w:val="0C008E" w:themeColor="text2"/>
      <w:sz w:val="24"/>
    </w:rPr>
  </w:style>
  <w:style w:type="paragraph" w:styleId="TOC2">
    <w:name w:val="toc 2"/>
    <w:basedOn w:val="Normal"/>
    <w:next w:val="Normal"/>
    <w:autoRedefine/>
    <w:uiPriority w:val="39"/>
    <w:rsid w:val="00E60D63"/>
    <w:pPr>
      <w:tabs>
        <w:tab w:val="left" w:pos="709"/>
        <w:tab w:val="right" w:leader="dot" w:pos="10194"/>
      </w:tabs>
      <w:spacing w:before="80" w:after="80" w:line="240" w:lineRule="auto"/>
      <w:ind w:left="709" w:right="567" w:hanging="709"/>
      <w:contextualSpacing w:val="0"/>
    </w:pPr>
    <w:rPr>
      <w:color w:val="1D2030" w:themeColor="text1"/>
      <w:sz w:val="20"/>
    </w:rPr>
  </w:style>
  <w:style w:type="paragraph" w:styleId="TOC3">
    <w:name w:val="toc 3"/>
    <w:basedOn w:val="Normal"/>
    <w:next w:val="Normal"/>
    <w:autoRedefine/>
    <w:uiPriority w:val="24"/>
    <w:rsid w:val="00AD051F"/>
    <w:pPr>
      <w:tabs>
        <w:tab w:val="left" w:pos="567"/>
        <w:tab w:val="right" w:leader="dot" w:pos="10194"/>
      </w:tabs>
      <w:spacing w:before="60" w:after="60"/>
      <w:contextualSpacing w:val="0"/>
    </w:pPr>
    <w:rPr>
      <w:color w:val="1D2030" w:themeColor="text1"/>
      <w:sz w:val="20"/>
    </w:rPr>
  </w:style>
  <w:style w:type="table" w:customStyle="1" w:styleId="DocumentDetails">
    <w:name w:val="Document Details"/>
    <w:basedOn w:val="TableNormal"/>
    <w:uiPriority w:val="98"/>
    <w:rsid w:val="00AC3A01"/>
    <w:pPr>
      <w:spacing w:after="0" w:line="240" w:lineRule="auto"/>
    </w:pPr>
    <w:rPr>
      <w:rFonts w:cs="Times New Roman (Body CS)"/>
      <w:color w:val="1D2030" w:themeColor="text1"/>
      <w:sz w:val="24"/>
      <w:szCs w:val="24"/>
    </w:rPr>
    <w:tblPr>
      <w:tblBorders>
        <w:top w:val="single" w:sz="4" w:space="0" w:color="1D2030" w:themeColor="text1"/>
        <w:bottom w:val="single" w:sz="4" w:space="0" w:color="1D2030" w:themeColor="text1"/>
        <w:insideH w:val="single" w:sz="4" w:space="0" w:color="1D2030" w:themeColor="text1"/>
      </w:tblBorders>
      <w:tblCellMar>
        <w:top w:w="57" w:type="dxa"/>
        <w:left w:w="0" w:type="dxa"/>
        <w:bottom w:w="57" w:type="dxa"/>
        <w:right w:w="0" w:type="dxa"/>
      </w:tblCellMar>
    </w:tblPr>
  </w:style>
  <w:style w:type="paragraph" w:customStyle="1" w:styleId="TableTextSmall">
    <w:name w:val="Table Text Small"/>
    <w:basedOn w:val="Normal"/>
    <w:uiPriority w:val="12"/>
    <w:qFormat/>
    <w:rsid w:val="00AD051F"/>
    <w:pPr>
      <w:tabs>
        <w:tab w:val="left" w:pos="284"/>
        <w:tab w:val="left" w:pos="1134"/>
      </w:tabs>
      <w:spacing w:after="0" w:line="200" w:lineRule="atLeast"/>
      <w:contextualSpacing w:val="0"/>
    </w:pPr>
    <w:rPr>
      <w:rFonts w:cs="Times New Roman (Body CS)"/>
      <w:color w:val="1D2030" w:themeColor="text1"/>
      <w:sz w:val="14"/>
      <w:szCs w:val="24"/>
    </w:rPr>
  </w:style>
  <w:style w:type="paragraph" w:customStyle="1" w:styleId="IntroCopy">
    <w:name w:val="Intro Copy"/>
    <w:basedOn w:val="Normal"/>
    <w:next w:val="Normal"/>
    <w:uiPriority w:val="14"/>
    <w:qFormat/>
    <w:rsid w:val="00AD051F"/>
    <w:pPr>
      <w:spacing w:after="240" w:line="240" w:lineRule="auto"/>
      <w:contextualSpacing w:val="0"/>
    </w:pPr>
    <w:rPr>
      <w:rFonts w:cs="Times New Roman (Body CS)"/>
      <w:color w:val="2B3DDB" w:themeColor="accent2"/>
      <w:sz w:val="24"/>
      <w:szCs w:val="24"/>
    </w:rPr>
  </w:style>
  <w:style w:type="character" w:styleId="Hyperlink">
    <w:name w:val="Hyperlink"/>
    <w:basedOn w:val="DefaultParagraphFont"/>
    <w:uiPriority w:val="99"/>
    <w:unhideWhenUsed/>
    <w:rsid w:val="00AD051F"/>
    <w:rPr>
      <w:rFonts w:asciiTheme="minorHAnsi" w:hAnsiTheme="minorHAnsi"/>
      <w:b w:val="0"/>
      <w:color w:val="0C008E" w:themeColor="hyperlink"/>
      <w:u w:val="single"/>
    </w:rPr>
  </w:style>
  <w:style w:type="character" w:styleId="UnresolvedMention">
    <w:name w:val="Unresolved Mention"/>
    <w:basedOn w:val="DefaultParagraphFont"/>
    <w:uiPriority w:val="98"/>
    <w:semiHidden/>
    <w:unhideWhenUsed/>
    <w:rsid w:val="005F6176"/>
    <w:rPr>
      <w:color w:val="605E5C"/>
      <w:shd w:val="clear" w:color="auto" w:fill="E1DFDD"/>
    </w:rPr>
  </w:style>
  <w:style w:type="paragraph" w:styleId="List2">
    <w:name w:val="List 2"/>
    <w:basedOn w:val="Normal"/>
    <w:uiPriority w:val="8"/>
    <w:rsid w:val="00AD051F"/>
    <w:pPr>
      <w:numPr>
        <w:ilvl w:val="1"/>
        <w:numId w:val="17"/>
      </w:numPr>
      <w:spacing w:after="80"/>
    </w:pPr>
  </w:style>
  <w:style w:type="paragraph" w:styleId="List3">
    <w:name w:val="List 3"/>
    <w:basedOn w:val="Normal"/>
    <w:uiPriority w:val="8"/>
    <w:rsid w:val="00AD051F"/>
    <w:pPr>
      <w:numPr>
        <w:ilvl w:val="2"/>
        <w:numId w:val="17"/>
      </w:numPr>
      <w:spacing w:after="80"/>
    </w:pPr>
  </w:style>
  <w:style w:type="numbering" w:customStyle="1" w:styleId="ETHOSLISTNUMBER">
    <w:name w:val="ETHOS LIST NUMBER"/>
    <w:uiPriority w:val="1"/>
    <w:rsid w:val="00AD051F"/>
    <w:pPr>
      <w:numPr>
        <w:numId w:val="11"/>
      </w:numPr>
    </w:pPr>
  </w:style>
  <w:style w:type="paragraph" w:styleId="ListNumber3">
    <w:name w:val="List Number 3"/>
    <w:basedOn w:val="Normal"/>
    <w:uiPriority w:val="9"/>
    <w:rsid w:val="00AD051F"/>
    <w:pPr>
      <w:numPr>
        <w:ilvl w:val="2"/>
        <w:numId w:val="18"/>
      </w:numPr>
      <w:spacing w:after="80"/>
    </w:pPr>
  </w:style>
  <w:style w:type="paragraph" w:styleId="ListNumber">
    <w:name w:val="List Number"/>
    <w:basedOn w:val="Normal"/>
    <w:uiPriority w:val="9"/>
    <w:rsid w:val="00AD051F"/>
    <w:pPr>
      <w:numPr>
        <w:numId w:val="18"/>
      </w:numPr>
      <w:spacing w:after="80"/>
    </w:pPr>
  </w:style>
  <w:style w:type="paragraph" w:styleId="ListNumber2">
    <w:name w:val="List Number 2"/>
    <w:basedOn w:val="Normal"/>
    <w:uiPriority w:val="9"/>
    <w:rsid w:val="00AD051F"/>
    <w:pPr>
      <w:numPr>
        <w:ilvl w:val="1"/>
        <w:numId w:val="18"/>
      </w:numPr>
      <w:spacing w:after="80"/>
    </w:pPr>
  </w:style>
  <w:style w:type="paragraph" w:styleId="ListNumber4">
    <w:name w:val="List Number 4"/>
    <w:basedOn w:val="Normal"/>
    <w:uiPriority w:val="98"/>
    <w:semiHidden/>
    <w:rsid w:val="00C856A8"/>
  </w:style>
  <w:style w:type="numbering" w:customStyle="1" w:styleId="ETHOSLIST">
    <w:name w:val="ETHOS LIST"/>
    <w:uiPriority w:val="1"/>
    <w:rsid w:val="00AD051F"/>
    <w:pPr>
      <w:numPr>
        <w:numId w:val="10"/>
      </w:numPr>
    </w:pPr>
  </w:style>
  <w:style w:type="paragraph" w:styleId="List">
    <w:name w:val="List"/>
    <w:basedOn w:val="Normal"/>
    <w:uiPriority w:val="8"/>
    <w:rsid w:val="00AD051F"/>
    <w:pPr>
      <w:numPr>
        <w:numId w:val="17"/>
      </w:numPr>
      <w:spacing w:after="80"/>
    </w:pPr>
  </w:style>
  <w:style w:type="table" w:customStyle="1" w:styleId="BoxGrey">
    <w:name w:val="Box Grey"/>
    <w:basedOn w:val="TableNormal"/>
    <w:uiPriority w:val="10"/>
    <w:rsid w:val="00AD051F"/>
    <w:pPr>
      <w:spacing w:after="0" w:line="240" w:lineRule="auto"/>
    </w:pPr>
    <w:rPr>
      <w:rFonts w:asciiTheme="majorHAnsi" w:hAnsiTheme="majorHAnsi" w:cs="Times New Roman (Body CS)"/>
      <w:color w:val="1D2030" w:themeColor="text1"/>
      <w:sz w:val="24"/>
      <w:szCs w:val="24"/>
    </w:rPr>
    <w:tblPr>
      <w:tblCellMar>
        <w:top w:w="113" w:type="dxa"/>
        <w:left w:w="170" w:type="dxa"/>
        <w:right w:w="170" w:type="dxa"/>
      </w:tblCellMar>
    </w:tblPr>
    <w:tcPr>
      <w:shd w:val="clear" w:color="auto" w:fill="F2F2F2" w:themeFill="background1" w:themeFillShade="F2"/>
    </w:tcPr>
  </w:style>
  <w:style w:type="table" w:customStyle="1" w:styleId="BoxBlue">
    <w:name w:val="Box Blue"/>
    <w:basedOn w:val="TableNormal"/>
    <w:uiPriority w:val="10"/>
    <w:rsid w:val="00AD051F"/>
    <w:pPr>
      <w:spacing w:after="0" w:line="240" w:lineRule="auto"/>
    </w:pPr>
    <w:rPr>
      <w:rFonts w:asciiTheme="majorHAnsi" w:hAnsiTheme="majorHAnsi" w:cs="Times New Roman (Body CS)"/>
      <w:color w:val="1D2030" w:themeColor="text1"/>
      <w:sz w:val="24"/>
      <w:szCs w:val="24"/>
    </w:rPr>
    <w:tblPr>
      <w:tblCellMar>
        <w:top w:w="113" w:type="dxa"/>
        <w:left w:w="170" w:type="dxa"/>
        <w:right w:w="170" w:type="dxa"/>
      </w:tblCellMar>
    </w:tblPr>
    <w:tcPr>
      <w:shd w:val="clear" w:color="auto" w:fill="E3F7FD"/>
    </w:tcPr>
  </w:style>
  <w:style w:type="table" w:customStyle="1" w:styleId="BoxYellow">
    <w:name w:val="Box Yellow"/>
    <w:basedOn w:val="TableNormal"/>
    <w:uiPriority w:val="10"/>
    <w:rsid w:val="00AD051F"/>
    <w:pPr>
      <w:spacing w:after="0" w:line="240" w:lineRule="auto"/>
    </w:pPr>
    <w:rPr>
      <w:rFonts w:asciiTheme="majorHAnsi" w:hAnsiTheme="majorHAnsi" w:cs="Times New Roman (Body CS)"/>
      <w:color w:val="1D2030" w:themeColor="text1"/>
      <w:sz w:val="24"/>
      <w:szCs w:val="24"/>
    </w:rPr>
    <w:tblPr>
      <w:tblCellMar>
        <w:top w:w="113" w:type="dxa"/>
        <w:left w:w="170" w:type="dxa"/>
        <w:right w:w="170" w:type="dxa"/>
      </w:tblCellMar>
    </w:tblPr>
    <w:tcPr>
      <w:shd w:val="clear" w:color="auto" w:fill="FFFFD9"/>
    </w:tcPr>
  </w:style>
  <w:style w:type="paragraph" w:customStyle="1" w:styleId="PulloutBoxLight">
    <w:name w:val="Pullout Box Light"/>
    <w:basedOn w:val="PulloutBoxLarge"/>
    <w:next w:val="PulloutBoxCredit"/>
    <w:uiPriority w:val="15"/>
    <w:qFormat/>
    <w:rsid w:val="00AD051F"/>
    <w:pPr>
      <w:spacing w:after="160"/>
    </w:pPr>
  </w:style>
  <w:style w:type="paragraph" w:customStyle="1" w:styleId="PulloutBoxDetails">
    <w:name w:val="Pullout Box Details"/>
    <w:basedOn w:val="Normal"/>
    <w:uiPriority w:val="15"/>
    <w:qFormat/>
    <w:rsid w:val="00AD051F"/>
    <w:rPr>
      <w:caps/>
      <w:color w:val="2C3DDC"/>
      <w:spacing w:val="10"/>
      <w:sz w:val="16"/>
    </w:rPr>
  </w:style>
  <w:style w:type="paragraph" w:customStyle="1" w:styleId="PulloutBoxSmall">
    <w:name w:val="Pullout Box Small"/>
    <w:basedOn w:val="Normal"/>
    <w:uiPriority w:val="15"/>
    <w:qFormat/>
    <w:rsid w:val="00AD051F"/>
    <w:pPr>
      <w:spacing w:before="120" w:after="120"/>
    </w:pPr>
    <w:rPr>
      <w:i/>
      <w:color w:val="2C3DDC"/>
      <w:sz w:val="22"/>
    </w:rPr>
  </w:style>
  <w:style w:type="paragraph" w:customStyle="1" w:styleId="PulloutBoxLarge">
    <w:name w:val="Pullout Box Large"/>
    <w:basedOn w:val="Normal"/>
    <w:next w:val="PulloutBoxCredit"/>
    <w:uiPriority w:val="15"/>
    <w:qFormat/>
    <w:rsid w:val="00AD051F"/>
    <w:pPr>
      <w:keepLines/>
      <w:pBdr>
        <w:top w:val="single" w:sz="4" w:space="8" w:color="0C008E" w:themeColor="text2"/>
        <w:bottom w:val="single" w:sz="4" w:space="8" w:color="0C008E" w:themeColor="text2"/>
      </w:pBdr>
      <w:spacing w:before="280" w:after="280"/>
    </w:pPr>
    <w:rPr>
      <w:rFonts w:cs="Times New Roman (Body CS)"/>
      <w:color w:val="0C008E" w:themeColor="text2"/>
      <w:sz w:val="24"/>
      <w:szCs w:val="24"/>
    </w:rPr>
  </w:style>
  <w:style w:type="paragraph" w:customStyle="1" w:styleId="PulloutBoxCredit">
    <w:name w:val="Pullout Box Credit"/>
    <w:basedOn w:val="Normal"/>
    <w:uiPriority w:val="15"/>
    <w:qFormat/>
    <w:rsid w:val="00AD051F"/>
    <w:pPr>
      <w:keepLines/>
      <w:pBdr>
        <w:top w:val="single" w:sz="4" w:space="8" w:color="0C008E" w:themeColor="text2"/>
        <w:bottom w:val="single" w:sz="4" w:space="8" w:color="0C008E" w:themeColor="text2"/>
      </w:pBdr>
      <w:spacing w:after="280"/>
    </w:pPr>
    <w:rPr>
      <w:rFonts w:cs="Times New Roman (Body CS)"/>
      <w:color w:val="1D2030" w:themeColor="text1"/>
      <w:szCs w:val="24"/>
    </w:rPr>
  </w:style>
  <w:style w:type="character" w:customStyle="1" w:styleId="QUICKHIGHLIGHTTEXT">
    <w:name w:val="QUICK HIGHLIGHT TEXT"/>
    <w:basedOn w:val="DefaultParagraphFont"/>
    <w:qFormat/>
    <w:rsid w:val="00AD051F"/>
    <w:rPr>
      <w:rFonts w:asciiTheme="minorHAnsi" w:hAnsiTheme="minorHAnsi"/>
      <w:b w:val="0"/>
      <w:bdr w:val="none" w:sz="0" w:space="0" w:color="auto"/>
      <w:shd w:val="clear" w:color="auto" w:fill="FFE6B4"/>
    </w:rPr>
  </w:style>
  <w:style w:type="character" w:customStyle="1" w:styleId="QUICKHIGHLIGHTLinkedData">
    <w:name w:val="QUICK HIGHLIGHT Linked Data"/>
    <w:basedOn w:val="QUICKHIGHLIGHTTEXT"/>
    <w:qFormat/>
    <w:rsid w:val="00AD051F"/>
    <w:rPr>
      <w:rFonts w:asciiTheme="minorHAnsi" w:hAnsiTheme="minorHAnsi"/>
      <w:b w:val="0"/>
      <w:bdr w:val="none" w:sz="0" w:space="0" w:color="auto"/>
      <w:shd w:val="clear" w:color="auto" w:fill="DCF0F0"/>
    </w:rPr>
  </w:style>
  <w:style w:type="paragraph" w:customStyle="1" w:styleId="SectionHeading">
    <w:name w:val="Section Heading"/>
    <w:basedOn w:val="Normal"/>
    <w:next w:val="SectionSubheading"/>
    <w:uiPriority w:val="1"/>
    <w:semiHidden/>
    <w:qFormat/>
    <w:rsid w:val="00AD051F"/>
    <w:pPr>
      <w:numPr>
        <w:numId w:val="14"/>
      </w:numPr>
      <w:spacing w:line="240" w:lineRule="auto"/>
      <w:outlineLvl w:val="0"/>
    </w:pPr>
    <w:rPr>
      <w:rFonts w:asciiTheme="majorHAnsi" w:hAnsiTheme="majorHAnsi"/>
      <w:color w:val="FFFF9C" w:themeColor="accent4"/>
      <w:sz w:val="52"/>
    </w:rPr>
  </w:style>
  <w:style w:type="numbering" w:customStyle="1" w:styleId="ETHOSNumberedHeading">
    <w:name w:val="_ETHOS Numbered Heading"/>
    <w:uiPriority w:val="1"/>
    <w:rsid w:val="00AD051F"/>
    <w:pPr>
      <w:numPr>
        <w:numId w:val="12"/>
      </w:numPr>
    </w:pPr>
  </w:style>
  <w:style w:type="character" w:customStyle="1" w:styleId="Heading5Char">
    <w:name w:val="Heading 5 Char"/>
    <w:basedOn w:val="DefaultParagraphFont"/>
    <w:link w:val="Heading5"/>
    <w:uiPriority w:val="3"/>
    <w:rsid w:val="00AD051F"/>
    <w:rPr>
      <w:rFonts w:asciiTheme="majorHAnsi" w:eastAsiaTheme="majorEastAsia" w:hAnsiTheme="majorHAnsi" w:cstheme="majorBidi"/>
      <w:i/>
      <w:color w:val="08006A" w:themeColor="accent1" w:themeShade="BF"/>
      <w:sz w:val="17"/>
      <w:u w:val="single"/>
    </w:rPr>
  </w:style>
  <w:style w:type="table" w:styleId="ColorfulGrid">
    <w:name w:val="Colorful Grid"/>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C8CCDE" w:themeFill="text1" w:themeFillTint="33"/>
    </w:tcPr>
    <w:tblStylePr w:type="firstRow">
      <w:rPr>
        <w:b/>
        <w:bCs/>
      </w:rPr>
      <w:tblPr/>
      <w:tcPr>
        <w:shd w:val="clear" w:color="auto" w:fill="9299BD" w:themeFill="text1" w:themeFillTint="66"/>
      </w:tcPr>
    </w:tblStylePr>
    <w:tblStylePr w:type="lastRow">
      <w:rPr>
        <w:b/>
        <w:bCs/>
        <w:color w:val="1D2030" w:themeColor="text1"/>
      </w:rPr>
      <w:tblPr/>
      <w:tcPr>
        <w:shd w:val="clear" w:color="auto" w:fill="9299BD" w:themeFill="text1" w:themeFillTint="66"/>
      </w:tcPr>
    </w:tblStylePr>
    <w:tblStylePr w:type="firstCol">
      <w:rPr>
        <w:color w:val="FFFFFF" w:themeColor="background1"/>
      </w:rPr>
      <w:tblPr/>
      <w:tcPr>
        <w:shd w:val="clear" w:color="auto" w:fill="151823" w:themeFill="text1" w:themeFillShade="BF"/>
      </w:tcPr>
    </w:tblStylePr>
    <w:tblStylePr w:type="lastCol">
      <w:rPr>
        <w:color w:val="FFFFFF" w:themeColor="background1"/>
      </w:rPr>
      <w:tblPr/>
      <w:tcPr>
        <w:shd w:val="clear" w:color="auto" w:fill="151823" w:themeFill="text1" w:themeFillShade="BF"/>
      </w:tcPr>
    </w:tblStylePr>
    <w:tblStylePr w:type="band1Vert">
      <w:tblPr/>
      <w:tcPr>
        <w:shd w:val="clear" w:color="auto" w:fill="7880AD" w:themeFill="text1" w:themeFillTint="7F"/>
      </w:tcPr>
    </w:tblStylePr>
    <w:tblStylePr w:type="band1Horz">
      <w:tblPr/>
      <w:tcPr>
        <w:shd w:val="clear" w:color="auto" w:fill="7880AD" w:themeFill="text1" w:themeFillTint="7F"/>
      </w:tcPr>
    </w:tblStylePr>
  </w:style>
  <w:style w:type="paragraph" w:customStyle="1" w:styleId="TableBullet2">
    <w:name w:val="Table Bullet 2"/>
    <w:basedOn w:val="ListBullet2"/>
    <w:uiPriority w:val="98"/>
    <w:qFormat/>
    <w:rsid w:val="00AD051F"/>
    <w:pPr>
      <w:numPr>
        <w:numId w:val="19"/>
      </w:numPr>
      <w:spacing w:before="20" w:after="20" w:line="240" w:lineRule="auto"/>
      <w:contextualSpacing w:val="0"/>
    </w:pPr>
    <w:rPr>
      <w:rFonts w:cs="Times New Roman (Body CS)"/>
      <w:color w:val="1D2030" w:themeColor="text1"/>
      <w:szCs w:val="24"/>
    </w:rPr>
  </w:style>
  <w:style w:type="table" w:customStyle="1" w:styleId="ETHOSTABLEStandard">
    <w:name w:val="ETHOS TABLE Standard"/>
    <w:basedOn w:val="TableNormal"/>
    <w:uiPriority w:val="10"/>
    <w:rsid w:val="00AD051F"/>
    <w:pPr>
      <w:spacing w:after="0" w:line="240" w:lineRule="auto"/>
    </w:pPr>
    <w:rPr>
      <w:rFonts w:cs="Times New Roman (Body CS)"/>
      <w:color w:val="1D2030" w:themeColor="text1"/>
      <w:sz w:val="24"/>
      <w:szCs w:val="24"/>
    </w:rPr>
    <w:tblPr>
      <w:tblStyleRowBandSize w:val="1"/>
      <w:tblBorders>
        <w:top w:val="single" w:sz="4" w:space="0" w:color="0C008E" w:themeColor="text2"/>
        <w:bottom w:val="single" w:sz="4" w:space="0" w:color="0C008E" w:themeColor="text2"/>
        <w:insideH w:val="single" w:sz="4" w:space="0" w:color="0C008E" w:themeColor="text2"/>
      </w:tblBorders>
      <w:tblCellMar>
        <w:top w:w="57" w:type="dxa"/>
        <w:bottom w:w="57" w:type="dxa"/>
      </w:tblCellMar>
    </w:tblPr>
    <w:tblStylePr w:type="firstRow">
      <w:pPr>
        <w:jc w:val="left"/>
      </w:pPr>
      <w:rPr>
        <w:b w:val="0"/>
        <w:color w:val="auto"/>
      </w:rPr>
      <w:tblPr/>
      <w:trPr>
        <w:tblHeader/>
      </w:trPr>
      <w:tcPr>
        <w:shd w:val="clear" w:color="auto" w:fill="0C008E" w:themeFill="text2"/>
        <w:tcMar>
          <w:top w:w="57" w:type="dxa"/>
          <w:left w:w="0" w:type="nil"/>
          <w:bottom w:w="57" w:type="dxa"/>
          <w:right w:w="0" w:type="nil"/>
        </w:tcMar>
        <w:vAlign w:val="bottom"/>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TableHeading">
    <w:name w:val="Table Heading"/>
    <w:basedOn w:val="NoSpacing"/>
    <w:next w:val="TableText"/>
    <w:uiPriority w:val="11"/>
    <w:locked/>
    <w:rsid w:val="00AD051F"/>
    <w:pPr>
      <w:spacing w:before="10" w:after="10" w:line="240" w:lineRule="auto"/>
    </w:pPr>
    <w:rPr>
      <w:rFonts w:asciiTheme="majorHAnsi" w:eastAsia="Calibri" w:hAnsiTheme="majorHAnsi" w:cstheme="majorHAnsi"/>
      <w:color w:val="0C008E" w:themeColor="text2"/>
      <w:sz w:val="16"/>
      <w:szCs w:val="20"/>
    </w:rPr>
  </w:style>
  <w:style w:type="paragraph" w:customStyle="1" w:styleId="TableText">
    <w:name w:val="Table Text"/>
    <w:basedOn w:val="NoSpacing"/>
    <w:link w:val="TableTextChar"/>
    <w:uiPriority w:val="12"/>
    <w:qFormat/>
    <w:locked/>
    <w:rsid w:val="00AD051F"/>
    <w:pPr>
      <w:spacing w:before="20" w:after="20" w:line="200" w:lineRule="atLeast"/>
    </w:pPr>
    <w:rPr>
      <w:rFonts w:eastAsia="Calibri" w:cs="Calibri"/>
      <w:color w:val="1D2030" w:themeColor="text1"/>
      <w:sz w:val="16"/>
      <w:szCs w:val="20"/>
    </w:rPr>
  </w:style>
  <w:style w:type="paragraph" w:customStyle="1" w:styleId="TableBullet1">
    <w:name w:val="Table Bullet 1"/>
    <w:basedOn w:val="TableText"/>
    <w:uiPriority w:val="5"/>
    <w:qFormat/>
    <w:rsid w:val="00AD051F"/>
    <w:pPr>
      <w:numPr>
        <w:numId w:val="19"/>
      </w:numPr>
    </w:pPr>
  </w:style>
  <w:style w:type="paragraph" w:customStyle="1" w:styleId="TableSubheading">
    <w:name w:val="Table Subheading"/>
    <w:basedOn w:val="TableText"/>
    <w:next w:val="TableText"/>
    <w:uiPriority w:val="11"/>
    <w:qFormat/>
    <w:rsid w:val="00AD051F"/>
    <w:pPr>
      <w:spacing w:before="30" w:after="30"/>
    </w:pPr>
    <w:rPr>
      <w:rFonts w:asciiTheme="majorHAnsi" w:hAnsiTheme="majorHAnsi" w:cstheme="majorHAnsi"/>
      <w:i/>
      <w:color w:val="0C008E" w:themeColor="text2"/>
    </w:rPr>
  </w:style>
  <w:style w:type="paragraph" w:customStyle="1" w:styleId="TableHeadingLight">
    <w:name w:val="Table Heading Light"/>
    <w:basedOn w:val="TableHeading"/>
    <w:uiPriority w:val="11"/>
    <w:qFormat/>
    <w:rsid w:val="00AD051F"/>
    <w:rPr>
      <w:color w:val="FFFFFF" w:themeColor="background1"/>
    </w:rPr>
  </w:style>
  <w:style w:type="paragraph" w:customStyle="1" w:styleId="Heading1NoNumbers">
    <w:name w:val="Heading 1 (No Numbers)"/>
    <w:basedOn w:val="Heading1"/>
    <w:next w:val="Normal"/>
    <w:uiPriority w:val="2"/>
    <w:qFormat/>
    <w:rsid w:val="00AD051F"/>
    <w:pPr>
      <w:numPr>
        <w:ilvl w:val="0"/>
        <w:numId w:val="0"/>
      </w:numPr>
      <w:outlineLvl w:val="9"/>
    </w:pPr>
  </w:style>
  <w:style w:type="paragraph" w:customStyle="1" w:styleId="Heading2NoNumbers">
    <w:name w:val="Heading 2 (No Numbers)"/>
    <w:basedOn w:val="Heading2"/>
    <w:next w:val="Normal"/>
    <w:uiPriority w:val="2"/>
    <w:qFormat/>
    <w:rsid w:val="00AD051F"/>
    <w:pPr>
      <w:numPr>
        <w:ilvl w:val="0"/>
        <w:numId w:val="0"/>
      </w:numPr>
      <w:outlineLvl w:val="9"/>
    </w:pPr>
  </w:style>
  <w:style w:type="paragraph" w:customStyle="1" w:styleId="Heading3NoNumbers">
    <w:name w:val="Heading 3 (No Numbers)"/>
    <w:basedOn w:val="Heading3"/>
    <w:next w:val="Normal"/>
    <w:uiPriority w:val="2"/>
    <w:qFormat/>
    <w:rsid w:val="00AD051F"/>
    <w:pPr>
      <w:numPr>
        <w:ilvl w:val="0"/>
        <w:numId w:val="0"/>
      </w:numPr>
      <w:outlineLvl w:val="9"/>
    </w:pPr>
  </w:style>
  <w:style w:type="paragraph" w:customStyle="1" w:styleId="Heading2Body">
    <w:name w:val="Heading 2 Body"/>
    <w:basedOn w:val="Heading2"/>
    <w:link w:val="Heading2BodyChar"/>
    <w:uiPriority w:val="4"/>
    <w:qFormat/>
    <w:rsid w:val="00AD051F"/>
    <w:pPr>
      <w:spacing w:before="0"/>
    </w:pPr>
    <w:rPr>
      <w:rFonts w:asciiTheme="minorHAnsi" w:hAnsiTheme="minorHAnsi"/>
      <w:color w:val="1D2030" w:themeColor="text1"/>
      <w:sz w:val="16"/>
    </w:rPr>
  </w:style>
  <w:style w:type="paragraph" w:customStyle="1" w:styleId="Heading3Body">
    <w:name w:val="Heading 3 Body"/>
    <w:basedOn w:val="Heading3"/>
    <w:link w:val="Heading3BodyChar"/>
    <w:uiPriority w:val="4"/>
    <w:qFormat/>
    <w:rsid w:val="00AD051F"/>
    <w:pPr>
      <w:spacing w:before="0"/>
    </w:pPr>
    <w:rPr>
      <w:rFonts w:asciiTheme="minorHAnsi" w:hAnsiTheme="minorHAnsi"/>
      <w:color w:val="1D2030" w:themeColor="text1"/>
      <w:sz w:val="16"/>
    </w:rPr>
  </w:style>
  <w:style w:type="character" w:customStyle="1" w:styleId="Heading2BodyChar">
    <w:name w:val="Heading 2 Body Char"/>
    <w:basedOn w:val="Heading2Char"/>
    <w:link w:val="Heading2Body"/>
    <w:uiPriority w:val="4"/>
    <w:rsid w:val="00AD051F"/>
    <w:rPr>
      <w:rFonts w:asciiTheme="majorHAnsi" w:eastAsiaTheme="majorEastAsia" w:hAnsiTheme="majorHAnsi" w:cstheme="majorBidi"/>
      <w:color w:val="1D2030" w:themeColor="text1"/>
      <w:sz w:val="16"/>
      <w:szCs w:val="26"/>
    </w:rPr>
  </w:style>
  <w:style w:type="paragraph" w:styleId="TOC4">
    <w:name w:val="toc 4"/>
    <w:basedOn w:val="Normal"/>
    <w:next w:val="Normal"/>
    <w:autoRedefine/>
    <w:uiPriority w:val="24"/>
    <w:rsid w:val="00AD051F"/>
    <w:pPr>
      <w:tabs>
        <w:tab w:val="left" w:pos="1276"/>
        <w:tab w:val="right" w:leader="dot" w:pos="10194"/>
      </w:tabs>
      <w:spacing w:after="100"/>
    </w:pPr>
  </w:style>
  <w:style w:type="character" w:customStyle="1" w:styleId="Heading3BodyChar">
    <w:name w:val="Heading 3 Body Char"/>
    <w:basedOn w:val="Heading3Char"/>
    <w:link w:val="Heading3Body"/>
    <w:uiPriority w:val="4"/>
    <w:rsid w:val="00AD051F"/>
    <w:rPr>
      <w:rFonts w:asciiTheme="majorHAnsi" w:eastAsiaTheme="majorEastAsia" w:hAnsiTheme="majorHAnsi" w:cstheme="majorBidi"/>
      <w:color w:val="1D2030" w:themeColor="text1"/>
      <w:sz w:val="16"/>
      <w:szCs w:val="24"/>
    </w:rPr>
  </w:style>
  <w:style w:type="table" w:customStyle="1" w:styleId="zero2">
    <w:name w:val="zero2"/>
    <w:basedOn w:val="TableNormal"/>
    <w:uiPriority w:val="98"/>
    <w:semiHidden/>
    <w:rsid w:val="00C6484E"/>
    <w:pPr>
      <w:spacing w:after="0" w:line="240" w:lineRule="auto"/>
    </w:pPr>
    <w:rPr>
      <w:rFonts w:eastAsia="Century Gothic"/>
      <w:sz w:val="20"/>
      <w:szCs w:val="20"/>
    </w:rPr>
    <w:tblPr>
      <w:tblCellMar>
        <w:left w:w="0" w:type="dxa"/>
        <w:right w:w="0" w:type="dxa"/>
      </w:tblCellMar>
    </w:tblPr>
  </w:style>
  <w:style w:type="character" w:styleId="PlaceholderText">
    <w:name w:val="Placeholder Text"/>
    <w:basedOn w:val="DefaultParagraphFont"/>
    <w:uiPriority w:val="98"/>
    <w:rsid w:val="00DE34BE"/>
    <w:rPr>
      <w:color w:val="FF00FF"/>
    </w:rPr>
  </w:style>
  <w:style w:type="paragraph" w:customStyle="1" w:styleId="ScheduleText">
    <w:name w:val="Schedule Text"/>
    <w:basedOn w:val="Normal"/>
    <w:uiPriority w:val="98"/>
    <w:semiHidden/>
    <w:qFormat/>
    <w:rsid w:val="005245D6"/>
    <w:pPr>
      <w:numPr>
        <w:numId w:val="15"/>
      </w:numPr>
      <w:spacing w:after="0"/>
    </w:pPr>
    <w:rPr>
      <w:rFonts w:cs="Times New Roman (Body CS)"/>
      <w:color w:val="1D2030" w:themeColor="text1"/>
      <w:szCs w:val="24"/>
    </w:rPr>
  </w:style>
  <w:style w:type="paragraph" w:customStyle="1" w:styleId="ScheduleList">
    <w:name w:val="Schedule List"/>
    <w:basedOn w:val="ScheduleText"/>
    <w:uiPriority w:val="98"/>
    <w:semiHidden/>
    <w:qFormat/>
    <w:rsid w:val="00A5005A"/>
    <w:pPr>
      <w:numPr>
        <w:ilvl w:val="1"/>
      </w:numPr>
      <w:spacing w:before="80" w:after="80"/>
      <w:contextualSpacing w:val="0"/>
    </w:pPr>
  </w:style>
  <w:style w:type="numbering" w:customStyle="1" w:styleId="ETHOSSchedule">
    <w:name w:val="ETHOS Schedule"/>
    <w:uiPriority w:val="7"/>
    <w:rsid w:val="00AD051F"/>
    <w:pPr>
      <w:numPr>
        <w:numId w:val="8"/>
      </w:numPr>
    </w:pPr>
  </w:style>
  <w:style w:type="paragraph" w:customStyle="1" w:styleId="PulloutBoxLeft">
    <w:name w:val="Pullout Box Left"/>
    <w:basedOn w:val="PulloutBoxLarge"/>
    <w:uiPriority w:val="98"/>
    <w:semiHidden/>
    <w:qFormat/>
    <w:rsid w:val="00C6484E"/>
    <w:pPr>
      <w:pBdr>
        <w:top w:val="none" w:sz="0" w:space="0" w:color="auto"/>
        <w:left w:val="single" w:sz="4" w:space="12" w:color="0C008E" w:themeColor="text2"/>
        <w:bottom w:val="none" w:sz="0" w:space="0" w:color="auto"/>
      </w:pBdr>
      <w:spacing w:before="0" w:after="0"/>
      <w:ind w:left="238"/>
    </w:pPr>
    <w:rPr>
      <w:rFonts w:ascii="Montserrat SemiBold" w:hAnsi="Montserrat SemiBold"/>
      <w:b/>
      <w:i/>
      <w:color w:val="2C3DDC"/>
    </w:rPr>
  </w:style>
  <w:style w:type="paragraph" w:customStyle="1" w:styleId="PulloutBoxLeftCredit">
    <w:name w:val="Pullout Box Left Credit"/>
    <w:basedOn w:val="PulloutBoxLeft"/>
    <w:next w:val="Normal"/>
    <w:uiPriority w:val="98"/>
    <w:semiHidden/>
    <w:qFormat/>
    <w:rsid w:val="00C6484E"/>
    <w:pPr>
      <w:spacing w:before="120"/>
    </w:pPr>
    <w:rPr>
      <w:rFonts w:ascii="Montserrat Medium" w:hAnsi="Montserrat Medium"/>
      <w:i w:val="0"/>
      <w:color w:val="0C008E" w:themeColor="text2"/>
      <w:sz w:val="18"/>
    </w:rPr>
  </w:style>
  <w:style w:type="paragraph" w:customStyle="1" w:styleId="StatBox">
    <w:name w:val="Stat Box"/>
    <w:basedOn w:val="Normal"/>
    <w:uiPriority w:val="16"/>
    <w:qFormat/>
    <w:rsid w:val="00AD051F"/>
    <w:pPr>
      <w:spacing w:after="0" w:line="259" w:lineRule="auto"/>
      <w:contextualSpacing w:val="0"/>
    </w:pPr>
    <w:rPr>
      <w:rFonts w:ascii="Montserrat ExtraBold" w:hAnsi="Montserrat ExtraBold"/>
      <w:color w:val="2C3DDC"/>
      <w:sz w:val="28"/>
    </w:rPr>
  </w:style>
  <w:style w:type="paragraph" w:customStyle="1" w:styleId="StatText">
    <w:name w:val="Stat Text"/>
    <w:basedOn w:val="Normal"/>
    <w:uiPriority w:val="16"/>
    <w:qFormat/>
    <w:rsid w:val="00AD051F"/>
    <w:pPr>
      <w:spacing w:after="0" w:line="259" w:lineRule="auto"/>
      <w:contextualSpacing w:val="0"/>
    </w:pPr>
    <w:rPr>
      <w:color w:val="0C008E" w:themeColor="text2"/>
      <w:lang w:val="en-US"/>
    </w:rPr>
  </w:style>
  <w:style w:type="paragraph" w:customStyle="1" w:styleId="StatBoxLight">
    <w:name w:val="Stat Box Light"/>
    <w:basedOn w:val="StatBox"/>
    <w:uiPriority w:val="16"/>
    <w:qFormat/>
    <w:rsid w:val="00AD051F"/>
    <w:rPr>
      <w:rFonts w:ascii="Montserrat Light" w:hAnsi="Montserrat Light"/>
      <w:sz w:val="32"/>
    </w:rPr>
  </w:style>
  <w:style w:type="paragraph" w:customStyle="1" w:styleId="StatTextHeavy">
    <w:name w:val="Stat Text Heavy"/>
    <w:basedOn w:val="StatText"/>
    <w:uiPriority w:val="16"/>
    <w:qFormat/>
    <w:rsid w:val="00AD051F"/>
    <w:rPr>
      <w:rFonts w:asciiTheme="majorHAnsi" w:hAnsiTheme="majorHAnsi"/>
    </w:rPr>
  </w:style>
  <w:style w:type="paragraph" w:customStyle="1" w:styleId="BioName">
    <w:name w:val="Bio Name"/>
    <w:basedOn w:val="Normal"/>
    <w:uiPriority w:val="17"/>
    <w:qFormat/>
    <w:rsid w:val="00AD051F"/>
    <w:pPr>
      <w:spacing w:after="0" w:line="259" w:lineRule="auto"/>
      <w:contextualSpacing w:val="0"/>
    </w:pPr>
    <w:rPr>
      <w:color w:val="2B3DDB" w:themeColor="accent2"/>
      <w:sz w:val="40"/>
      <w:lang w:val="en-US"/>
    </w:rPr>
  </w:style>
  <w:style w:type="paragraph" w:customStyle="1" w:styleId="BioPosition">
    <w:name w:val="Bio Position"/>
    <w:basedOn w:val="Normal"/>
    <w:uiPriority w:val="17"/>
    <w:qFormat/>
    <w:rsid w:val="00AD051F"/>
    <w:pPr>
      <w:spacing w:after="80" w:line="259" w:lineRule="auto"/>
      <w:contextualSpacing w:val="0"/>
    </w:pPr>
    <w:rPr>
      <w:color w:val="0C008E" w:themeColor="text2"/>
      <w:sz w:val="24"/>
    </w:rPr>
  </w:style>
  <w:style w:type="paragraph" w:styleId="BalloonText">
    <w:name w:val="Balloon Text"/>
    <w:basedOn w:val="Normal"/>
    <w:link w:val="BalloonTextChar"/>
    <w:uiPriority w:val="98"/>
    <w:semiHidden/>
    <w:unhideWhenUsed/>
    <w:rsid w:val="00E87B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8"/>
    <w:semiHidden/>
    <w:rsid w:val="00E87BC9"/>
    <w:rPr>
      <w:rFonts w:ascii="Segoe UI" w:hAnsi="Segoe UI" w:cs="Segoe UI"/>
      <w:sz w:val="18"/>
      <w:szCs w:val="18"/>
    </w:rPr>
  </w:style>
  <w:style w:type="paragraph" w:styleId="Bibliography">
    <w:name w:val="Bibliography"/>
    <w:basedOn w:val="Normal"/>
    <w:next w:val="Normal"/>
    <w:uiPriority w:val="98"/>
    <w:semiHidden/>
    <w:unhideWhenUsed/>
    <w:rsid w:val="00E87BC9"/>
  </w:style>
  <w:style w:type="paragraph" w:styleId="BlockText">
    <w:name w:val="Block Text"/>
    <w:basedOn w:val="Normal"/>
    <w:uiPriority w:val="98"/>
    <w:semiHidden/>
    <w:unhideWhenUsed/>
    <w:rsid w:val="00E87BC9"/>
    <w:pPr>
      <w:pBdr>
        <w:top w:val="single" w:sz="2" w:space="10" w:color="0C008E" w:themeColor="accent1"/>
        <w:left w:val="single" w:sz="2" w:space="10" w:color="0C008E" w:themeColor="accent1"/>
        <w:bottom w:val="single" w:sz="2" w:space="10" w:color="0C008E" w:themeColor="accent1"/>
        <w:right w:val="single" w:sz="2" w:space="10" w:color="0C008E" w:themeColor="accent1"/>
      </w:pBdr>
      <w:ind w:left="1152" w:right="1152"/>
    </w:pPr>
    <w:rPr>
      <w:rFonts w:eastAsiaTheme="minorEastAsia"/>
      <w:i/>
      <w:iCs/>
      <w:color w:val="0C008E" w:themeColor="accent1"/>
    </w:rPr>
  </w:style>
  <w:style w:type="paragraph" w:styleId="BodyText">
    <w:name w:val="Body Text"/>
    <w:basedOn w:val="Normal"/>
    <w:link w:val="BodyTextChar"/>
    <w:uiPriority w:val="98"/>
    <w:semiHidden/>
    <w:unhideWhenUsed/>
    <w:rsid w:val="00E87BC9"/>
    <w:pPr>
      <w:spacing w:after="120"/>
    </w:pPr>
  </w:style>
  <w:style w:type="character" w:customStyle="1" w:styleId="BodyTextChar">
    <w:name w:val="Body Text Char"/>
    <w:basedOn w:val="DefaultParagraphFont"/>
    <w:link w:val="BodyText"/>
    <w:uiPriority w:val="98"/>
    <w:semiHidden/>
    <w:rsid w:val="00E87BC9"/>
    <w:rPr>
      <w:sz w:val="17"/>
    </w:rPr>
  </w:style>
  <w:style w:type="paragraph" w:styleId="BodyText2">
    <w:name w:val="Body Text 2"/>
    <w:basedOn w:val="Normal"/>
    <w:link w:val="BodyText2Char"/>
    <w:uiPriority w:val="98"/>
    <w:semiHidden/>
    <w:unhideWhenUsed/>
    <w:rsid w:val="00E87BC9"/>
    <w:pPr>
      <w:spacing w:after="120" w:line="480" w:lineRule="auto"/>
    </w:pPr>
  </w:style>
  <w:style w:type="character" w:customStyle="1" w:styleId="BodyText2Char">
    <w:name w:val="Body Text 2 Char"/>
    <w:basedOn w:val="DefaultParagraphFont"/>
    <w:link w:val="BodyText2"/>
    <w:uiPriority w:val="98"/>
    <w:semiHidden/>
    <w:rsid w:val="00E87BC9"/>
    <w:rPr>
      <w:sz w:val="17"/>
    </w:rPr>
  </w:style>
  <w:style w:type="paragraph" w:styleId="BodyText3">
    <w:name w:val="Body Text 3"/>
    <w:basedOn w:val="Normal"/>
    <w:link w:val="BodyText3Char"/>
    <w:uiPriority w:val="98"/>
    <w:semiHidden/>
    <w:unhideWhenUsed/>
    <w:rsid w:val="00E87BC9"/>
    <w:pPr>
      <w:spacing w:after="120"/>
    </w:pPr>
    <w:rPr>
      <w:sz w:val="16"/>
      <w:szCs w:val="16"/>
    </w:rPr>
  </w:style>
  <w:style w:type="character" w:customStyle="1" w:styleId="BodyText3Char">
    <w:name w:val="Body Text 3 Char"/>
    <w:basedOn w:val="DefaultParagraphFont"/>
    <w:link w:val="BodyText3"/>
    <w:uiPriority w:val="98"/>
    <w:semiHidden/>
    <w:rsid w:val="00E87BC9"/>
    <w:rPr>
      <w:sz w:val="16"/>
      <w:szCs w:val="16"/>
    </w:rPr>
  </w:style>
  <w:style w:type="paragraph" w:styleId="BodyTextFirstIndent">
    <w:name w:val="Body Text First Indent"/>
    <w:basedOn w:val="BodyText"/>
    <w:link w:val="BodyTextFirstIndentChar"/>
    <w:uiPriority w:val="98"/>
    <w:semiHidden/>
    <w:unhideWhenUsed/>
    <w:rsid w:val="00E87BC9"/>
    <w:pPr>
      <w:spacing w:after="160"/>
      <w:ind w:firstLine="360"/>
    </w:pPr>
  </w:style>
  <w:style w:type="character" w:customStyle="1" w:styleId="BodyTextFirstIndentChar">
    <w:name w:val="Body Text First Indent Char"/>
    <w:basedOn w:val="BodyTextChar"/>
    <w:link w:val="BodyTextFirstIndent"/>
    <w:uiPriority w:val="98"/>
    <w:semiHidden/>
    <w:rsid w:val="00E87BC9"/>
    <w:rPr>
      <w:sz w:val="17"/>
    </w:rPr>
  </w:style>
  <w:style w:type="paragraph" w:styleId="BodyTextIndent">
    <w:name w:val="Body Text Indent"/>
    <w:basedOn w:val="Normal"/>
    <w:link w:val="BodyTextIndentChar"/>
    <w:uiPriority w:val="98"/>
    <w:semiHidden/>
    <w:unhideWhenUsed/>
    <w:rsid w:val="00E87BC9"/>
    <w:pPr>
      <w:spacing w:after="120"/>
      <w:ind w:left="283"/>
    </w:pPr>
  </w:style>
  <w:style w:type="character" w:customStyle="1" w:styleId="BodyTextIndentChar">
    <w:name w:val="Body Text Indent Char"/>
    <w:basedOn w:val="DefaultParagraphFont"/>
    <w:link w:val="BodyTextIndent"/>
    <w:uiPriority w:val="98"/>
    <w:semiHidden/>
    <w:rsid w:val="00E87BC9"/>
    <w:rPr>
      <w:sz w:val="17"/>
    </w:rPr>
  </w:style>
  <w:style w:type="paragraph" w:styleId="BodyTextFirstIndent2">
    <w:name w:val="Body Text First Indent 2"/>
    <w:basedOn w:val="BodyTextIndent"/>
    <w:link w:val="BodyTextFirstIndent2Char"/>
    <w:uiPriority w:val="98"/>
    <w:semiHidden/>
    <w:unhideWhenUsed/>
    <w:rsid w:val="00E87BC9"/>
    <w:pPr>
      <w:spacing w:after="160"/>
      <w:ind w:left="360" w:firstLine="360"/>
    </w:pPr>
  </w:style>
  <w:style w:type="character" w:customStyle="1" w:styleId="BodyTextFirstIndent2Char">
    <w:name w:val="Body Text First Indent 2 Char"/>
    <w:basedOn w:val="BodyTextIndentChar"/>
    <w:link w:val="BodyTextFirstIndent2"/>
    <w:uiPriority w:val="98"/>
    <w:semiHidden/>
    <w:rsid w:val="00E87BC9"/>
    <w:rPr>
      <w:sz w:val="17"/>
    </w:rPr>
  </w:style>
  <w:style w:type="paragraph" w:styleId="BodyTextIndent2">
    <w:name w:val="Body Text Indent 2"/>
    <w:basedOn w:val="Normal"/>
    <w:link w:val="BodyTextIndent2Char"/>
    <w:uiPriority w:val="98"/>
    <w:semiHidden/>
    <w:unhideWhenUsed/>
    <w:rsid w:val="00E87BC9"/>
    <w:pPr>
      <w:spacing w:after="120" w:line="480" w:lineRule="auto"/>
      <w:ind w:left="283"/>
    </w:pPr>
  </w:style>
  <w:style w:type="character" w:customStyle="1" w:styleId="BodyTextIndent2Char">
    <w:name w:val="Body Text Indent 2 Char"/>
    <w:basedOn w:val="DefaultParagraphFont"/>
    <w:link w:val="BodyTextIndent2"/>
    <w:uiPriority w:val="98"/>
    <w:semiHidden/>
    <w:rsid w:val="00E87BC9"/>
    <w:rPr>
      <w:sz w:val="17"/>
    </w:rPr>
  </w:style>
  <w:style w:type="paragraph" w:styleId="BodyTextIndent3">
    <w:name w:val="Body Text Indent 3"/>
    <w:basedOn w:val="Normal"/>
    <w:link w:val="BodyTextIndent3Char"/>
    <w:uiPriority w:val="98"/>
    <w:semiHidden/>
    <w:unhideWhenUsed/>
    <w:rsid w:val="00E87BC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87BC9"/>
    <w:rPr>
      <w:sz w:val="16"/>
      <w:szCs w:val="16"/>
    </w:rPr>
  </w:style>
  <w:style w:type="paragraph" w:styleId="Closing">
    <w:name w:val="Closing"/>
    <w:basedOn w:val="Normal"/>
    <w:link w:val="ClosingChar"/>
    <w:uiPriority w:val="98"/>
    <w:semiHidden/>
    <w:unhideWhenUsed/>
    <w:rsid w:val="00E87BC9"/>
    <w:pPr>
      <w:spacing w:after="0" w:line="240" w:lineRule="auto"/>
      <w:ind w:left="4252"/>
    </w:pPr>
  </w:style>
  <w:style w:type="character" w:customStyle="1" w:styleId="ClosingChar">
    <w:name w:val="Closing Char"/>
    <w:basedOn w:val="DefaultParagraphFont"/>
    <w:link w:val="Closing"/>
    <w:uiPriority w:val="98"/>
    <w:semiHidden/>
    <w:rsid w:val="00E87BC9"/>
    <w:rPr>
      <w:sz w:val="17"/>
    </w:rPr>
  </w:style>
  <w:style w:type="paragraph" w:styleId="CommentText">
    <w:name w:val="annotation text"/>
    <w:basedOn w:val="Normal"/>
    <w:link w:val="CommentTextChar"/>
    <w:uiPriority w:val="98"/>
    <w:unhideWhenUsed/>
    <w:rsid w:val="00E87BC9"/>
    <w:pPr>
      <w:spacing w:line="240" w:lineRule="auto"/>
    </w:pPr>
    <w:rPr>
      <w:sz w:val="20"/>
      <w:szCs w:val="20"/>
    </w:rPr>
  </w:style>
  <w:style w:type="character" w:customStyle="1" w:styleId="CommentTextChar">
    <w:name w:val="Comment Text Char"/>
    <w:basedOn w:val="DefaultParagraphFont"/>
    <w:link w:val="CommentText"/>
    <w:uiPriority w:val="98"/>
    <w:rsid w:val="00E87BC9"/>
    <w:rPr>
      <w:sz w:val="20"/>
      <w:szCs w:val="20"/>
    </w:rPr>
  </w:style>
  <w:style w:type="paragraph" w:styleId="CommentSubject">
    <w:name w:val="annotation subject"/>
    <w:basedOn w:val="CommentText"/>
    <w:next w:val="CommentText"/>
    <w:link w:val="CommentSubjectChar"/>
    <w:uiPriority w:val="98"/>
    <w:semiHidden/>
    <w:unhideWhenUsed/>
    <w:rsid w:val="00E87BC9"/>
    <w:rPr>
      <w:b/>
      <w:bCs/>
    </w:rPr>
  </w:style>
  <w:style w:type="character" w:customStyle="1" w:styleId="CommentSubjectChar">
    <w:name w:val="Comment Subject Char"/>
    <w:basedOn w:val="CommentTextChar"/>
    <w:link w:val="CommentSubject"/>
    <w:uiPriority w:val="98"/>
    <w:semiHidden/>
    <w:rsid w:val="00E87BC9"/>
    <w:rPr>
      <w:b/>
      <w:bCs/>
      <w:sz w:val="20"/>
      <w:szCs w:val="20"/>
    </w:rPr>
  </w:style>
  <w:style w:type="paragraph" w:styleId="Date">
    <w:name w:val="Date"/>
    <w:basedOn w:val="Normal"/>
    <w:next w:val="Normal"/>
    <w:link w:val="DateChar"/>
    <w:uiPriority w:val="98"/>
    <w:semiHidden/>
    <w:unhideWhenUsed/>
    <w:rsid w:val="00E87BC9"/>
  </w:style>
  <w:style w:type="character" w:customStyle="1" w:styleId="DateChar">
    <w:name w:val="Date Char"/>
    <w:basedOn w:val="DefaultParagraphFont"/>
    <w:link w:val="Date"/>
    <w:uiPriority w:val="98"/>
    <w:semiHidden/>
    <w:rsid w:val="00E87BC9"/>
    <w:rPr>
      <w:sz w:val="17"/>
    </w:rPr>
  </w:style>
  <w:style w:type="paragraph" w:styleId="DocumentMap">
    <w:name w:val="Document Map"/>
    <w:basedOn w:val="Normal"/>
    <w:link w:val="DocumentMapChar"/>
    <w:uiPriority w:val="98"/>
    <w:semiHidden/>
    <w:unhideWhenUsed/>
    <w:rsid w:val="00E87BC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8"/>
    <w:semiHidden/>
    <w:rsid w:val="00E87BC9"/>
    <w:rPr>
      <w:rFonts w:ascii="Segoe UI" w:hAnsi="Segoe UI" w:cs="Segoe UI"/>
      <w:sz w:val="16"/>
      <w:szCs w:val="16"/>
    </w:rPr>
  </w:style>
  <w:style w:type="paragraph" w:styleId="E-mailSignature">
    <w:name w:val="E-mail Signature"/>
    <w:basedOn w:val="Normal"/>
    <w:link w:val="E-mailSignatureChar"/>
    <w:uiPriority w:val="98"/>
    <w:semiHidden/>
    <w:unhideWhenUsed/>
    <w:rsid w:val="00E87BC9"/>
    <w:pPr>
      <w:spacing w:after="0" w:line="240" w:lineRule="auto"/>
    </w:pPr>
  </w:style>
  <w:style w:type="character" w:customStyle="1" w:styleId="E-mailSignatureChar">
    <w:name w:val="E-mail Signature Char"/>
    <w:basedOn w:val="DefaultParagraphFont"/>
    <w:link w:val="E-mailSignature"/>
    <w:uiPriority w:val="98"/>
    <w:semiHidden/>
    <w:rsid w:val="00E87BC9"/>
    <w:rPr>
      <w:sz w:val="17"/>
    </w:rPr>
  </w:style>
  <w:style w:type="paragraph" w:styleId="EndnoteText">
    <w:name w:val="endnote text"/>
    <w:basedOn w:val="Normal"/>
    <w:link w:val="EndnoteTextChar"/>
    <w:uiPriority w:val="98"/>
    <w:semiHidden/>
    <w:unhideWhenUsed/>
    <w:rsid w:val="00E87BC9"/>
    <w:pPr>
      <w:spacing w:after="0" w:line="240" w:lineRule="auto"/>
    </w:pPr>
    <w:rPr>
      <w:sz w:val="20"/>
      <w:szCs w:val="20"/>
    </w:rPr>
  </w:style>
  <w:style w:type="character" w:customStyle="1" w:styleId="EndnoteTextChar">
    <w:name w:val="Endnote Text Char"/>
    <w:basedOn w:val="DefaultParagraphFont"/>
    <w:link w:val="EndnoteText"/>
    <w:uiPriority w:val="98"/>
    <w:semiHidden/>
    <w:rsid w:val="00E87BC9"/>
    <w:rPr>
      <w:sz w:val="20"/>
      <w:szCs w:val="20"/>
    </w:rPr>
  </w:style>
  <w:style w:type="paragraph" w:styleId="EnvelopeAddress">
    <w:name w:val="envelope address"/>
    <w:basedOn w:val="Normal"/>
    <w:uiPriority w:val="98"/>
    <w:semiHidden/>
    <w:unhideWhenUsed/>
    <w:rsid w:val="00E87BC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8"/>
    <w:semiHidden/>
    <w:unhideWhenUsed/>
    <w:rsid w:val="00E87BC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8"/>
    <w:semiHidden/>
    <w:unhideWhenUsed/>
    <w:rsid w:val="00E87BC9"/>
    <w:pPr>
      <w:spacing w:after="0" w:line="240" w:lineRule="auto"/>
    </w:pPr>
    <w:rPr>
      <w:sz w:val="20"/>
      <w:szCs w:val="20"/>
    </w:rPr>
  </w:style>
  <w:style w:type="character" w:customStyle="1" w:styleId="FootnoteTextChar">
    <w:name w:val="Footnote Text Char"/>
    <w:basedOn w:val="DefaultParagraphFont"/>
    <w:link w:val="FootnoteText"/>
    <w:uiPriority w:val="98"/>
    <w:semiHidden/>
    <w:rsid w:val="00E87BC9"/>
    <w:rPr>
      <w:sz w:val="20"/>
      <w:szCs w:val="20"/>
    </w:rPr>
  </w:style>
  <w:style w:type="character" w:customStyle="1" w:styleId="Heading6Char">
    <w:name w:val="Heading 6 Char"/>
    <w:basedOn w:val="DefaultParagraphFont"/>
    <w:link w:val="Heading6"/>
    <w:uiPriority w:val="3"/>
    <w:rsid w:val="00AD051F"/>
    <w:rPr>
      <w:rFonts w:asciiTheme="majorHAnsi" w:eastAsiaTheme="majorEastAsia" w:hAnsiTheme="majorHAnsi" w:cstheme="majorBidi"/>
      <w:color w:val="050046" w:themeColor="accent1" w:themeShade="7F"/>
      <w:sz w:val="17"/>
    </w:rPr>
  </w:style>
  <w:style w:type="character" w:customStyle="1" w:styleId="Heading7Char">
    <w:name w:val="Heading 7 Char"/>
    <w:basedOn w:val="DefaultParagraphFont"/>
    <w:link w:val="Heading7"/>
    <w:uiPriority w:val="98"/>
    <w:semiHidden/>
    <w:rsid w:val="00E87BC9"/>
    <w:rPr>
      <w:rFonts w:asciiTheme="majorHAnsi" w:eastAsiaTheme="majorEastAsia" w:hAnsiTheme="majorHAnsi" w:cstheme="majorBidi"/>
      <w:i/>
      <w:iCs/>
      <w:color w:val="050046" w:themeColor="accent1" w:themeShade="7F"/>
      <w:sz w:val="17"/>
    </w:rPr>
  </w:style>
  <w:style w:type="character" w:customStyle="1" w:styleId="Heading8Char">
    <w:name w:val="Heading 8 Char"/>
    <w:basedOn w:val="DefaultParagraphFont"/>
    <w:link w:val="Heading8"/>
    <w:uiPriority w:val="98"/>
    <w:semiHidden/>
    <w:rsid w:val="00E87BC9"/>
    <w:rPr>
      <w:rFonts w:asciiTheme="majorHAnsi" w:eastAsiaTheme="majorEastAsia" w:hAnsiTheme="majorHAnsi" w:cstheme="majorBidi"/>
      <w:color w:val="363B59" w:themeColor="text1" w:themeTint="D8"/>
      <w:sz w:val="21"/>
      <w:szCs w:val="21"/>
    </w:rPr>
  </w:style>
  <w:style w:type="character" w:customStyle="1" w:styleId="Heading9Char">
    <w:name w:val="Heading 9 Char"/>
    <w:basedOn w:val="DefaultParagraphFont"/>
    <w:link w:val="Heading9"/>
    <w:uiPriority w:val="98"/>
    <w:semiHidden/>
    <w:rsid w:val="00E87BC9"/>
    <w:rPr>
      <w:rFonts w:asciiTheme="majorHAnsi" w:eastAsiaTheme="majorEastAsia" w:hAnsiTheme="majorHAnsi" w:cstheme="majorBidi"/>
      <w:i/>
      <w:iCs/>
      <w:color w:val="363B59" w:themeColor="text1" w:themeTint="D8"/>
      <w:sz w:val="21"/>
      <w:szCs w:val="21"/>
    </w:rPr>
  </w:style>
  <w:style w:type="paragraph" w:styleId="HTMLAddress">
    <w:name w:val="HTML Address"/>
    <w:basedOn w:val="Normal"/>
    <w:link w:val="HTMLAddressChar"/>
    <w:uiPriority w:val="98"/>
    <w:semiHidden/>
    <w:unhideWhenUsed/>
    <w:rsid w:val="00E87BC9"/>
    <w:pPr>
      <w:spacing w:after="0" w:line="240" w:lineRule="auto"/>
    </w:pPr>
    <w:rPr>
      <w:i/>
      <w:iCs/>
    </w:rPr>
  </w:style>
  <w:style w:type="character" w:customStyle="1" w:styleId="HTMLAddressChar">
    <w:name w:val="HTML Address Char"/>
    <w:basedOn w:val="DefaultParagraphFont"/>
    <w:link w:val="HTMLAddress"/>
    <w:uiPriority w:val="98"/>
    <w:semiHidden/>
    <w:rsid w:val="00E87BC9"/>
    <w:rPr>
      <w:i/>
      <w:iCs/>
      <w:sz w:val="17"/>
    </w:rPr>
  </w:style>
  <w:style w:type="paragraph" w:styleId="HTMLPreformatted">
    <w:name w:val="HTML Preformatted"/>
    <w:basedOn w:val="Normal"/>
    <w:link w:val="HTMLPreformattedChar"/>
    <w:uiPriority w:val="98"/>
    <w:semiHidden/>
    <w:unhideWhenUsed/>
    <w:rsid w:val="00E87BC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8"/>
    <w:semiHidden/>
    <w:rsid w:val="00E87BC9"/>
    <w:rPr>
      <w:rFonts w:ascii="Consolas" w:hAnsi="Consolas"/>
      <w:sz w:val="20"/>
      <w:szCs w:val="20"/>
    </w:rPr>
  </w:style>
  <w:style w:type="paragraph" w:styleId="Index1">
    <w:name w:val="index 1"/>
    <w:basedOn w:val="Normal"/>
    <w:next w:val="Normal"/>
    <w:autoRedefine/>
    <w:uiPriority w:val="98"/>
    <w:semiHidden/>
    <w:unhideWhenUsed/>
    <w:rsid w:val="00E87BC9"/>
    <w:pPr>
      <w:spacing w:after="0" w:line="240" w:lineRule="auto"/>
      <w:ind w:left="170" w:hanging="170"/>
    </w:pPr>
  </w:style>
  <w:style w:type="paragraph" w:styleId="Index2">
    <w:name w:val="index 2"/>
    <w:basedOn w:val="Normal"/>
    <w:next w:val="Normal"/>
    <w:autoRedefine/>
    <w:uiPriority w:val="98"/>
    <w:semiHidden/>
    <w:unhideWhenUsed/>
    <w:rsid w:val="00E87BC9"/>
    <w:pPr>
      <w:spacing w:after="0" w:line="240" w:lineRule="auto"/>
      <w:ind w:left="340" w:hanging="170"/>
    </w:pPr>
  </w:style>
  <w:style w:type="paragraph" w:styleId="Index3">
    <w:name w:val="index 3"/>
    <w:basedOn w:val="Normal"/>
    <w:next w:val="Normal"/>
    <w:autoRedefine/>
    <w:uiPriority w:val="98"/>
    <w:semiHidden/>
    <w:unhideWhenUsed/>
    <w:rsid w:val="00E87BC9"/>
    <w:pPr>
      <w:spacing w:after="0" w:line="240" w:lineRule="auto"/>
      <w:ind w:left="510" w:hanging="170"/>
    </w:pPr>
  </w:style>
  <w:style w:type="paragraph" w:styleId="Index4">
    <w:name w:val="index 4"/>
    <w:basedOn w:val="Normal"/>
    <w:next w:val="Normal"/>
    <w:autoRedefine/>
    <w:uiPriority w:val="98"/>
    <w:semiHidden/>
    <w:unhideWhenUsed/>
    <w:rsid w:val="00E87BC9"/>
    <w:pPr>
      <w:spacing w:after="0" w:line="240" w:lineRule="auto"/>
      <w:ind w:left="680" w:hanging="170"/>
    </w:pPr>
  </w:style>
  <w:style w:type="paragraph" w:styleId="Index5">
    <w:name w:val="index 5"/>
    <w:basedOn w:val="Normal"/>
    <w:next w:val="Normal"/>
    <w:autoRedefine/>
    <w:uiPriority w:val="98"/>
    <w:semiHidden/>
    <w:unhideWhenUsed/>
    <w:rsid w:val="00E87BC9"/>
    <w:pPr>
      <w:spacing w:after="0" w:line="240" w:lineRule="auto"/>
      <w:ind w:left="850" w:hanging="170"/>
    </w:pPr>
  </w:style>
  <w:style w:type="paragraph" w:styleId="Index6">
    <w:name w:val="index 6"/>
    <w:basedOn w:val="Normal"/>
    <w:next w:val="Normal"/>
    <w:autoRedefine/>
    <w:uiPriority w:val="98"/>
    <w:semiHidden/>
    <w:unhideWhenUsed/>
    <w:rsid w:val="00E87BC9"/>
    <w:pPr>
      <w:spacing w:after="0" w:line="240" w:lineRule="auto"/>
      <w:ind w:left="1020" w:hanging="170"/>
    </w:pPr>
  </w:style>
  <w:style w:type="paragraph" w:styleId="Index7">
    <w:name w:val="index 7"/>
    <w:basedOn w:val="Normal"/>
    <w:next w:val="Normal"/>
    <w:autoRedefine/>
    <w:uiPriority w:val="98"/>
    <w:semiHidden/>
    <w:unhideWhenUsed/>
    <w:rsid w:val="00E87BC9"/>
    <w:pPr>
      <w:spacing w:after="0" w:line="240" w:lineRule="auto"/>
      <w:ind w:left="1190" w:hanging="170"/>
    </w:pPr>
  </w:style>
  <w:style w:type="paragraph" w:styleId="Index8">
    <w:name w:val="index 8"/>
    <w:basedOn w:val="Normal"/>
    <w:next w:val="Normal"/>
    <w:autoRedefine/>
    <w:uiPriority w:val="98"/>
    <w:semiHidden/>
    <w:unhideWhenUsed/>
    <w:rsid w:val="00E87BC9"/>
    <w:pPr>
      <w:spacing w:after="0" w:line="240" w:lineRule="auto"/>
      <w:ind w:left="1360" w:hanging="170"/>
    </w:pPr>
  </w:style>
  <w:style w:type="paragraph" w:styleId="Index9">
    <w:name w:val="index 9"/>
    <w:basedOn w:val="Normal"/>
    <w:next w:val="Normal"/>
    <w:autoRedefine/>
    <w:uiPriority w:val="98"/>
    <w:semiHidden/>
    <w:unhideWhenUsed/>
    <w:rsid w:val="00E87BC9"/>
    <w:pPr>
      <w:spacing w:after="0" w:line="240" w:lineRule="auto"/>
      <w:ind w:left="1530" w:hanging="170"/>
    </w:pPr>
  </w:style>
  <w:style w:type="paragraph" w:styleId="IndexHeading">
    <w:name w:val="index heading"/>
    <w:basedOn w:val="Normal"/>
    <w:next w:val="Index1"/>
    <w:uiPriority w:val="98"/>
    <w:semiHidden/>
    <w:unhideWhenUsed/>
    <w:rsid w:val="00E87BC9"/>
    <w:rPr>
      <w:rFonts w:asciiTheme="majorHAnsi" w:eastAsiaTheme="majorEastAsia" w:hAnsiTheme="majorHAnsi" w:cstheme="majorBidi"/>
      <w:b/>
      <w:bCs/>
    </w:rPr>
  </w:style>
  <w:style w:type="paragraph" w:styleId="IntenseQuote">
    <w:name w:val="Intense Quote"/>
    <w:basedOn w:val="Normal"/>
    <w:next w:val="Normal"/>
    <w:link w:val="IntenseQuoteChar"/>
    <w:uiPriority w:val="98"/>
    <w:semiHidden/>
    <w:qFormat/>
    <w:rsid w:val="00E87BC9"/>
    <w:pPr>
      <w:pBdr>
        <w:top w:val="single" w:sz="4" w:space="10" w:color="0C008E" w:themeColor="accent1"/>
        <w:bottom w:val="single" w:sz="4" w:space="10" w:color="0C008E" w:themeColor="accent1"/>
      </w:pBdr>
      <w:spacing w:before="360" w:after="360"/>
      <w:ind w:left="864" w:right="864"/>
      <w:jc w:val="center"/>
    </w:pPr>
    <w:rPr>
      <w:i/>
      <w:iCs/>
      <w:color w:val="0C008E" w:themeColor="accent1"/>
    </w:rPr>
  </w:style>
  <w:style w:type="character" w:customStyle="1" w:styleId="IntenseQuoteChar">
    <w:name w:val="Intense Quote Char"/>
    <w:basedOn w:val="DefaultParagraphFont"/>
    <w:link w:val="IntenseQuote"/>
    <w:uiPriority w:val="98"/>
    <w:semiHidden/>
    <w:rsid w:val="00E87BC9"/>
    <w:rPr>
      <w:i/>
      <w:iCs/>
      <w:color w:val="0C008E" w:themeColor="accent1"/>
      <w:sz w:val="17"/>
    </w:rPr>
  </w:style>
  <w:style w:type="paragraph" w:styleId="List4">
    <w:name w:val="List 4"/>
    <w:basedOn w:val="Normal"/>
    <w:uiPriority w:val="98"/>
    <w:semiHidden/>
    <w:unhideWhenUsed/>
    <w:rsid w:val="00E87BC9"/>
    <w:pPr>
      <w:ind w:left="1132" w:hanging="283"/>
    </w:pPr>
  </w:style>
  <w:style w:type="paragraph" w:styleId="List5">
    <w:name w:val="List 5"/>
    <w:basedOn w:val="Normal"/>
    <w:uiPriority w:val="98"/>
    <w:semiHidden/>
    <w:unhideWhenUsed/>
    <w:rsid w:val="00E87BC9"/>
    <w:pPr>
      <w:ind w:left="1415" w:hanging="283"/>
    </w:pPr>
  </w:style>
  <w:style w:type="paragraph" w:styleId="ListBullet4">
    <w:name w:val="List Bullet 4"/>
    <w:basedOn w:val="Normal"/>
    <w:uiPriority w:val="98"/>
    <w:semiHidden/>
    <w:unhideWhenUsed/>
    <w:rsid w:val="00E87BC9"/>
    <w:pPr>
      <w:numPr>
        <w:numId w:val="1"/>
      </w:numPr>
    </w:pPr>
  </w:style>
  <w:style w:type="paragraph" w:styleId="ListBullet5">
    <w:name w:val="List Bullet 5"/>
    <w:basedOn w:val="Normal"/>
    <w:uiPriority w:val="98"/>
    <w:semiHidden/>
    <w:unhideWhenUsed/>
    <w:rsid w:val="00E87BC9"/>
    <w:pPr>
      <w:numPr>
        <w:numId w:val="2"/>
      </w:numPr>
    </w:pPr>
  </w:style>
  <w:style w:type="paragraph" w:styleId="ListContinue">
    <w:name w:val="List Continue"/>
    <w:basedOn w:val="Normal"/>
    <w:uiPriority w:val="98"/>
    <w:semiHidden/>
    <w:unhideWhenUsed/>
    <w:rsid w:val="00E87BC9"/>
    <w:pPr>
      <w:spacing w:after="120"/>
      <w:ind w:left="283"/>
    </w:pPr>
  </w:style>
  <w:style w:type="paragraph" w:styleId="ListContinue2">
    <w:name w:val="List Continue 2"/>
    <w:basedOn w:val="Normal"/>
    <w:uiPriority w:val="98"/>
    <w:semiHidden/>
    <w:unhideWhenUsed/>
    <w:rsid w:val="00E87BC9"/>
    <w:pPr>
      <w:spacing w:after="120"/>
      <w:ind w:left="566"/>
    </w:pPr>
  </w:style>
  <w:style w:type="paragraph" w:styleId="ListContinue3">
    <w:name w:val="List Continue 3"/>
    <w:basedOn w:val="Normal"/>
    <w:uiPriority w:val="98"/>
    <w:semiHidden/>
    <w:unhideWhenUsed/>
    <w:rsid w:val="00E87BC9"/>
    <w:pPr>
      <w:spacing w:after="120"/>
      <w:ind w:left="849"/>
    </w:pPr>
  </w:style>
  <w:style w:type="paragraph" w:styleId="ListContinue4">
    <w:name w:val="List Continue 4"/>
    <w:basedOn w:val="Normal"/>
    <w:uiPriority w:val="98"/>
    <w:semiHidden/>
    <w:unhideWhenUsed/>
    <w:rsid w:val="00E87BC9"/>
    <w:pPr>
      <w:spacing w:after="120"/>
      <w:ind w:left="1132"/>
    </w:pPr>
  </w:style>
  <w:style w:type="paragraph" w:styleId="ListContinue5">
    <w:name w:val="List Continue 5"/>
    <w:basedOn w:val="Normal"/>
    <w:uiPriority w:val="98"/>
    <w:semiHidden/>
    <w:unhideWhenUsed/>
    <w:rsid w:val="00E87BC9"/>
    <w:pPr>
      <w:spacing w:after="120"/>
      <w:ind w:left="1415"/>
    </w:pPr>
  </w:style>
  <w:style w:type="paragraph" w:styleId="ListNumber5">
    <w:name w:val="List Number 5"/>
    <w:basedOn w:val="Normal"/>
    <w:uiPriority w:val="98"/>
    <w:semiHidden/>
    <w:unhideWhenUsed/>
    <w:rsid w:val="00E87BC9"/>
    <w:pPr>
      <w:numPr>
        <w:numId w:val="3"/>
      </w:numPr>
    </w:pPr>
  </w:style>
  <w:style w:type="paragraph" w:styleId="ListParagraph">
    <w:name w:val="List Paragraph"/>
    <w:basedOn w:val="Normal"/>
    <w:uiPriority w:val="34"/>
    <w:qFormat/>
    <w:rsid w:val="00E87BC9"/>
    <w:pPr>
      <w:ind w:left="720"/>
    </w:pPr>
  </w:style>
  <w:style w:type="paragraph" w:styleId="MacroText">
    <w:name w:val="macro"/>
    <w:link w:val="MacroTextChar"/>
    <w:uiPriority w:val="98"/>
    <w:semiHidden/>
    <w:unhideWhenUsed/>
    <w:rsid w:val="00E87BC9"/>
    <w:pPr>
      <w:tabs>
        <w:tab w:val="left" w:pos="480"/>
        <w:tab w:val="left" w:pos="960"/>
        <w:tab w:val="left" w:pos="1440"/>
        <w:tab w:val="left" w:pos="1920"/>
        <w:tab w:val="left" w:pos="2400"/>
        <w:tab w:val="left" w:pos="2880"/>
        <w:tab w:val="left" w:pos="3360"/>
        <w:tab w:val="left" w:pos="3840"/>
        <w:tab w:val="left" w:pos="4320"/>
      </w:tabs>
      <w:spacing w:after="0" w:line="240" w:lineRule="atLeast"/>
      <w:contextualSpacing/>
    </w:pPr>
    <w:rPr>
      <w:rFonts w:ascii="Consolas" w:hAnsi="Consolas"/>
      <w:sz w:val="20"/>
      <w:szCs w:val="20"/>
    </w:rPr>
  </w:style>
  <w:style w:type="character" w:customStyle="1" w:styleId="MacroTextChar">
    <w:name w:val="Macro Text Char"/>
    <w:basedOn w:val="DefaultParagraphFont"/>
    <w:link w:val="MacroText"/>
    <w:uiPriority w:val="98"/>
    <w:semiHidden/>
    <w:rsid w:val="00E87BC9"/>
    <w:rPr>
      <w:rFonts w:ascii="Consolas" w:hAnsi="Consolas"/>
      <w:sz w:val="20"/>
      <w:szCs w:val="20"/>
    </w:rPr>
  </w:style>
  <w:style w:type="paragraph" w:styleId="MessageHeader">
    <w:name w:val="Message Header"/>
    <w:basedOn w:val="Normal"/>
    <w:link w:val="MessageHeaderChar"/>
    <w:uiPriority w:val="98"/>
    <w:semiHidden/>
    <w:unhideWhenUsed/>
    <w:rsid w:val="00E87BC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8"/>
    <w:semiHidden/>
    <w:rsid w:val="00E87BC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87BC9"/>
    <w:rPr>
      <w:rFonts w:ascii="Times New Roman" w:hAnsi="Times New Roman" w:cs="Times New Roman"/>
      <w:sz w:val="24"/>
      <w:szCs w:val="24"/>
    </w:rPr>
  </w:style>
  <w:style w:type="paragraph" w:styleId="NormalIndent">
    <w:name w:val="Normal Indent"/>
    <w:basedOn w:val="Normal"/>
    <w:uiPriority w:val="98"/>
    <w:semiHidden/>
    <w:unhideWhenUsed/>
    <w:rsid w:val="00E87BC9"/>
    <w:pPr>
      <w:ind w:left="720"/>
    </w:pPr>
  </w:style>
  <w:style w:type="paragraph" w:styleId="NoteHeading">
    <w:name w:val="Note Heading"/>
    <w:basedOn w:val="Normal"/>
    <w:next w:val="Normal"/>
    <w:link w:val="NoteHeadingChar"/>
    <w:uiPriority w:val="98"/>
    <w:semiHidden/>
    <w:unhideWhenUsed/>
    <w:rsid w:val="00E87BC9"/>
    <w:pPr>
      <w:spacing w:after="0" w:line="240" w:lineRule="auto"/>
    </w:pPr>
  </w:style>
  <w:style w:type="character" w:customStyle="1" w:styleId="NoteHeadingChar">
    <w:name w:val="Note Heading Char"/>
    <w:basedOn w:val="DefaultParagraphFont"/>
    <w:link w:val="NoteHeading"/>
    <w:uiPriority w:val="98"/>
    <w:semiHidden/>
    <w:rsid w:val="00E87BC9"/>
    <w:rPr>
      <w:sz w:val="17"/>
    </w:rPr>
  </w:style>
  <w:style w:type="paragraph" w:styleId="PlainText">
    <w:name w:val="Plain Text"/>
    <w:basedOn w:val="Normal"/>
    <w:link w:val="PlainTextChar"/>
    <w:uiPriority w:val="98"/>
    <w:semiHidden/>
    <w:unhideWhenUsed/>
    <w:rsid w:val="00E87BC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8"/>
    <w:semiHidden/>
    <w:rsid w:val="00E87BC9"/>
    <w:rPr>
      <w:rFonts w:ascii="Consolas" w:hAnsi="Consolas"/>
      <w:sz w:val="21"/>
      <w:szCs w:val="21"/>
    </w:rPr>
  </w:style>
  <w:style w:type="paragraph" w:styleId="Quote">
    <w:name w:val="Quote"/>
    <w:basedOn w:val="Normal"/>
    <w:next w:val="Normal"/>
    <w:link w:val="QuoteChar"/>
    <w:uiPriority w:val="98"/>
    <w:semiHidden/>
    <w:qFormat/>
    <w:rsid w:val="00E87BC9"/>
    <w:pPr>
      <w:spacing w:before="200"/>
      <w:ind w:left="864" w:right="864"/>
      <w:jc w:val="center"/>
    </w:pPr>
    <w:rPr>
      <w:i/>
      <w:iCs/>
      <w:color w:val="464D73" w:themeColor="text1" w:themeTint="BF"/>
    </w:rPr>
  </w:style>
  <w:style w:type="character" w:customStyle="1" w:styleId="QuoteChar">
    <w:name w:val="Quote Char"/>
    <w:basedOn w:val="DefaultParagraphFont"/>
    <w:link w:val="Quote"/>
    <w:uiPriority w:val="98"/>
    <w:semiHidden/>
    <w:rsid w:val="00E87BC9"/>
    <w:rPr>
      <w:i/>
      <w:iCs/>
      <w:color w:val="464D73" w:themeColor="text1" w:themeTint="BF"/>
      <w:sz w:val="17"/>
    </w:rPr>
  </w:style>
  <w:style w:type="paragraph" w:styleId="Salutation">
    <w:name w:val="Salutation"/>
    <w:basedOn w:val="Normal"/>
    <w:next w:val="Normal"/>
    <w:link w:val="SalutationChar"/>
    <w:uiPriority w:val="98"/>
    <w:semiHidden/>
    <w:unhideWhenUsed/>
    <w:rsid w:val="00E87BC9"/>
  </w:style>
  <w:style w:type="character" w:customStyle="1" w:styleId="SalutationChar">
    <w:name w:val="Salutation Char"/>
    <w:basedOn w:val="DefaultParagraphFont"/>
    <w:link w:val="Salutation"/>
    <w:uiPriority w:val="98"/>
    <w:semiHidden/>
    <w:rsid w:val="00E87BC9"/>
    <w:rPr>
      <w:sz w:val="17"/>
    </w:rPr>
  </w:style>
  <w:style w:type="paragraph" w:styleId="Signature">
    <w:name w:val="Signature"/>
    <w:basedOn w:val="Normal"/>
    <w:link w:val="SignatureChar"/>
    <w:uiPriority w:val="98"/>
    <w:semiHidden/>
    <w:unhideWhenUsed/>
    <w:rsid w:val="00E87BC9"/>
    <w:pPr>
      <w:spacing w:after="0" w:line="240" w:lineRule="auto"/>
      <w:ind w:left="4252"/>
    </w:pPr>
  </w:style>
  <w:style w:type="character" w:customStyle="1" w:styleId="SignatureChar">
    <w:name w:val="Signature Char"/>
    <w:basedOn w:val="DefaultParagraphFont"/>
    <w:link w:val="Signature"/>
    <w:uiPriority w:val="98"/>
    <w:semiHidden/>
    <w:rsid w:val="00E87BC9"/>
    <w:rPr>
      <w:sz w:val="17"/>
    </w:rPr>
  </w:style>
  <w:style w:type="paragraph" w:styleId="Subtitle">
    <w:name w:val="Subtitle"/>
    <w:basedOn w:val="Normal"/>
    <w:next w:val="Normal"/>
    <w:link w:val="SubtitleChar"/>
    <w:uiPriority w:val="98"/>
    <w:semiHidden/>
    <w:qFormat/>
    <w:rsid w:val="00E87BC9"/>
    <w:pPr>
      <w:numPr>
        <w:ilvl w:val="1"/>
      </w:numPr>
    </w:pPr>
    <w:rPr>
      <w:rFonts w:eastAsiaTheme="minorEastAsia"/>
      <w:color w:val="565F8F" w:themeColor="text1" w:themeTint="A5"/>
      <w:spacing w:val="15"/>
      <w:sz w:val="22"/>
    </w:rPr>
  </w:style>
  <w:style w:type="character" w:customStyle="1" w:styleId="SubtitleChar">
    <w:name w:val="Subtitle Char"/>
    <w:basedOn w:val="DefaultParagraphFont"/>
    <w:link w:val="Subtitle"/>
    <w:uiPriority w:val="98"/>
    <w:semiHidden/>
    <w:rsid w:val="00E87BC9"/>
    <w:rPr>
      <w:rFonts w:eastAsiaTheme="minorEastAsia"/>
      <w:color w:val="565F8F" w:themeColor="text1" w:themeTint="A5"/>
      <w:spacing w:val="15"/>
    </w:rPr>
  </w:style>
  <w:style w:type="paragraph" w:styleId="TableofAuthorities">
    <w:name w:val="table of authorities"/>
    <w:basedOn w:val="Normal"/>
    <w:next w:val="Normal"/>
    <w:uiPriority w:val="98"/>
    <w:semiHidden/>
    <w:unhideWhenUsed/>
    <w:rsid w:val="00E87BC9"/>
    <w:pPr>
      <w:spacing w:after="0"/>
      <w:ind w:left="170" w:hanging="170"/>
    </w:pPr>
  </w:style>
  <w:style w:type="paragraph" w:styleId="TableofFigures">
    <w:name w:val="table of figures"/>
    <w:basedOn w:val="Normal"/>
    <w:next w:val="Normal"/>
    <w:uiPriority w:val="99"/>
    <w:unhideWhenUsed/>
    <w:rsid w:val="00AD051F"/>
    <w:pPr>
      <w:tabs>
        <w:tab w:val="left" w:pos="993"/>
        <w:tab w:val="right" w:leader="dot" w:pos="10194"/>
      </w:tabs>
      <w:spacing w:after="0"/>
    </w:pPr>
    <w:rPr>
      <w:noProof/>
    </w:rPr>
  </w:style>
  <w:style w:type="paragraph" w:styleId="Title">
    <w:name w:val="Title"/>
    <w:basedOn w:val="Normal"/>
    <w:next w:val="Normal"/>
    <w:link w:val="TitleChar"/>
    <w:uiPriority w:val="98"/>
    <w:semiHidden/>
    <w:qFormat/>
    <w:rsid w:val="00E87BC9"/>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8"/>
    <w:semiHidden/>
    <w:rsid w:val="00E87BC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8"/>
    <w:semiHidden/>
    <w:unhideWhenUsed/>
    <w:rsid w:val="00E87BC9"/>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24"/>
    <w:rsid w:val="00AD051F"/>
    <w:pPr>
      <w:spacing w:after="100"/>
      <w:ind w:left="680"/>
    </w:pPr>
  </w:style>
  <w:style w:type="paragraph" w:styleId="TOC6">
    <w:name w:val="toc 6"/>
    <w:basedOn w:val="Normal"/>
    <w:next w:val="Normal"/>
    <w:autoRedefine/>
    <w:uiPriority w:val="24"/>
    <w:rsid w:val="00AD051F"/>
    <w:pPr>
      <w:spacing w:after="100"/>
      <w:ind w:left="850"/>
    </w:pPr>
  </w:style>
  <w:style w:type="paragraph" w:styleId="TOC7">
    <w:name w:val="toc 7"/>
    <w:basedOn w:val="Normal"/>
    <w:next w:val="Normal"/>
    <w:autoRedefine/>
    <w:uiPriority w:val="24"/>
    <w:rsid w:val="00AD051F"/>
    <w:pPr>
      <w:spacing w:after="100"/>
      <w:ind w:left="1020"/>
    </w:pPr>
  </w:style>
  <w:style w:type="paragraph" w:styleId="TOC8">
    <w:name w:val="toc 8"/>
    <w:basedOn w:val="Normal"/>
    <w:next w:val="Normal"/>
    <w:autoRedefine/>
    <w:uiPriority w:val="24"/>
    <w:rsid w:val="00AD051F"/>
    <w:pPr>
      <w:spacing w:after="100"/>
      <w:ind w:left="1190"/>
    </w:pPr>
  </w:style>
  <w:style w:type="paragraph" w:styleId="TOC9">
    <w:name w:val="toc 9"/>
    <w:basedOn w:val="Normal"/>
    <w:next w:val="Normal"/>
    <w:autoRedefine/>
    <w:uiPriority w:val="24"/>
    <w:rsid w:val="00AD051F"/>
    <w:pPr>
      <w:spacing w:after="100"/>
      <w:ind w:left="1360"/>
    </w:pPr>
  </w:style>
  <w:style w:type="table" w:customStyle="1" w:styleId="ETHOSTABLEStandard1">
    <w:name w:val="ETHOS TABLE Standard1"/>
    <w:basedOn w:val="ETHOSTABLEStandard"/>
    <w:uiPriority w:val="98"/>
    <w:semiHidden/>
    <w:rsid w:val="00C6484E"/>
    <w:tblPr>
      <w:tblBorders>
        <w:top w:val="none" w:sz="0" w:space="0" w:color="auto"/>
        <w:bottom w:val="single" w:sz="2" w:space="0" w:color="0C008E" w:themeColor="text2"/>
        <w:insideH w:val="single" w:sz="2" w:space="0" w:color="0C008E" w:themeColor="text2"/>
        <w:insideV w:val="single" w:sz="4" w:space="0" w:color="0C008E" w:themeColor="text2"/>
      </w:tblBorders>
    </w:tblPr>
    <w:tblStylePr w:type="firstRow">
      <w:pPr>
        <w:jc w:val="left"/>
      </w:pPr>
      <w:rPr>
        <w:rFonts w:asciiTheme="minorHAnsi" w:hAnsiTheme="minorHAnsi"/>
        <w:b w:val="0"/>
        <w:color w:val="FFFFFF" w:themeColor="background1"/>
      </w:rPr>
      <w:tblPr/>
      <w:trPr>
        <w:tblHeader/>
      </w:trPr>
      <w:tcPr>
        <w:shd w:val="clear" w:color="auto" w:fill="0C008E" w:themeFill="text2"/>
        <w:tcMar>
          <w:top w:w="113" w:type="dxa"/>
          <w:left w:w="0" w:type="nil"/>
          <w:bottom w:w="113" w:type="dxa"/>
          <w:right w:w="0" w:type="nil"/>
        </w:tcMar>
        <w:vAlign w:val="bottom"/>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customStyle="1" w:styleId="ETHOSFinancialTable">
    <w:name w:val="ETHOS Financial Table"/>
    <w:basedOn w:val="ETHOSTABLEStandard"/>
    <w:uiPriority w:val="10"/>
    <w:rsid w:val="00AD051F"/>
    <w:tblPr>
      <w:tblBorders>
        <w:top w:val="none" w:sz="0" w:space="0" w:color="auto"/>
        <w:bottom w:val="single" w:sz="2" w:space="0" w:color="0C008E" w:themeColor="text2"/>
        <w:insideH w:val="none" w:sz="0" w:space="0" w:color="auto"/>
      </w:tblBorders>
      <w:tblCellMar>
        <w:top w:w="0" w:type="dxa"/>
        <w:left w:w="28" w:type="dxa"/>
        <w:bottom w:w="0" w:type="dxa"/>
        <w:right w:w="28" w:type="dxa"/>
      </w:tblCellMar>
    </w:tblPr>
    <w:tcPr>
      <w:shd w:val="clear" w:color="auto" w:fill="auto"/>
    </w:tcPr>
    <w:tblStylePr w:type="firstRow">
      <w:pPr>
        <w:jc w:val="left"/>
      </w:pPr>
      <w:rPr>
        <w:rFonts w:asciiTheme="minorHAnsi" w:hAnsiTheme="minorHAnsi"/>
        <w:b w:val="0"/>
        <w:color w:val="FFFFFF" w:themeColor="background1"/>
      </w:rPr>
      <w:tblPr>
        <w:tblCellMar>
          <w:top w:w="6" w:type="dxa"/>
          <w:left w:w="28" w:type="dxa"/>
          <w:bottom w:w="6" w:type="dxa"/>
          <w:right w:w="28" w:type="dxa"/>
        </w:tblCellMar>
      </w:tblPr>
      <w:trPr>
        <w:tblHeader/>
      </w:trPr>
      <w:tcPr>
        <w:shd w:val="clear" w:color="auto" w:fill="0C008E" w:themeFill="text2"/>
        <w:tcMar>
          <w:top w:w="57" w:type="dxa"/>
          <w:left w:w="0" w:type="nil"/>
          <w:bottom w:w="57" w:type="dxa"/>
          <w:right w:w="0" w:type="nil"/>
        </w:tcMar>
        <w:vAlign w:val="bottom"/>
      </w:tcPr>
    </w:tblStylePr>
    <w:tblStylePr w:type="firstCol">
      <w:rPr>
        <w:rFonts w:asciiTheme="majorHAnsi" w:hAnsiTheme="majorHAnsi"/>
        <w:color w:val="0C008E" w:themeColor="text2"/>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SourceNotes">
    <w:name w:val="Source/Notes"/>
    <w:basedOn w:val="Normal"/>
    <w:uiPriority w:val="10"/>
    <w:qFormat/>
    <w:rsid w:val="00AD051F"/>
    <w:pPr>
      <w:spacing w:before="80" w:after="80" w:line="200" w:lineRule="atLeast"/>
    </w:pPr>
    <w:rPr>
      <w:sz w:val="14"/>
    </w:rPr>
  </w:style>
  <w:style w:type="numbering" w:customStyle="1" w:styleId="ETHOSTableBullet">
    <w:name w:val="ETHOS Table Bullet"/>
    <w:uiPriority w:val="98"/>
    <w:semiHidden/>
    <w:rsid w:val="00FA2031"/>
    <w:pPr>
      <w:numPr>
        <w:numId w:val="4"/>
      </w:numPr>
    </w:pPr>
  </w:style>
  <w:style w:type="table" w:styleId="ColorfulGrid-Accent1">
    <w:name w:val="Colorful Grid Accent 1"/>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BBB5FF" w:themeFill="accent1" w:themeFillTint="33"/>
    </w:tcPr>
    <w:tblStylePr w:type="firstRow">
      <w:rPr>
        <w:b/>
        <w:bCs/>
      </w:rPr>
      <w:tblPr/>
      <w:tcPr>
        <w:shd w:val="clear" w:color="auto" w:fill="776BFF" w:themeFill="accent1" w:themeFillTint="66"/>
      </w:tcPr>
    </w:tblStylePr>
    <w:tblStylePr w:type="lastRow">
      <w:rPr>
        <w:b/>
        <w:bCs/>
        <w:color w:val="1D2030" w:themeColor="text1"/>
      </w:rPr>
      <w:tblPr/>
      <w:tcPr>
        <w:shd w:val="clear" w:color="auto" w:fill="776BFF" w:themeFill="accent1" w:themeFillTint="66"/>
      </w:tcPr>
    </w:tblStylePr>
    <w:tblStylePr w:type="firstCol">
      <w:rPr>
        <w:color w:val="FFFFFF" w:themeColor="background1"/>
      </w:rPr>
      <w:tblPr/>
      <w:tcPr>
        <w:shd w:val="clear" w:color="auto" w:fill="08006A" w:themeFill="accent1" w:themeFillShade="BF"/>
      </w:tcPr>
    </w:tblStylePr>
    <w:tblStylePr w:type="lastCol">
      <w:rPr>
        <w:color w:val="FFFFFF" w:themeColor="background1"/>
      </w:rPr>
      <w:tblPr/>
      <w:tcPr>
        <w:shd w:val="clear" w:color="auto" w:fill="08006A" w:themeFill="accent1" w:themeFillShade="BF"/>
      </w:tcPr>
    </w:tblStylePr>
    <w:tblStylePr w:type="band1Vert">
      <w:tblPr/>
      <w:tcPr>
        <w:shd w:val="clear" w:color="auto" w:fill="5647FF" w:themeFill="accent1" w:themeFillTint="7F"/>
      </w:tcPr>
    </w:tblStylePr>
    <w:tblStylePr w:type="band1Horz">
      <w:tblPr/>
      <w:tcPr>
        <w:shd w:val="clear" w:color="auto" w:fill="5647FF" w:themeFill="accent1" w:themeFillTint="7F"/>
      </w:tcPr>
    </w:tblStylePr>
  </w:style>
  <w:style w:type="table" w:styleId="ColorfulGrid-Accent2">
    <w:name w:val="Colorful Grid Accent 2"/>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D4D8F7" w:themeFill="accent2" w:themeFillTint="33"/>
    </w:tcPr>
    <w:tblStylePr w:type="firstRow">
      <w:rPr>
        <w:b/>
        <w:bCs/>
      </w:rPr>
      <w:tblPr/>
      <w:tcPr>
        <w:shd w:val="clear" w:color="auto" w:fill="AAB1F0" w:themeFill="accent2" w:themeFillTint="66"/>
      </w:tcPr>
    </w:tblStylePr>
    <w:tblStylePr w:type="lastRow">
      <w:rPr>
        <w:b/>
        <w:bCs/>
        <w:color w:val="1D2030" w:themeColor="text1"/>
      </w:rPr>
      <w:tblPr/>
      <w:tcPr>
        <w:shd w:val="clear" w:color="auto" w:fill="AAB1F0" w:themeFill="accent2" w:themeFillTint="66"/>
      </w:tcPr>
    </w:tblStylePr>
    <w:tblStylePr w:type="firstCol">
      <w:rPr>
        <w:color w:val="FFFFFF" w:themeColor="background1"/>
      </w:rPr>
      <w:tblPr/>
      <w:tcPr>
        <w:shd w:val="clear" w:color="auto" w:fill="1C2AA7" w:themeFill="accent2" w:themeFillShade="BF"/>
      </w:tcPr>
    </w:tblStylePr>
    <w:tblStylePr w:type="lastCol">
      <w:rPr>
        <w:color w:val="FFFFFF" w:themeColor="background1"/>
      </w:rPr>
      <w:tblPr/>
      <w:tcPr>
        <w:shd w:val="clear" w:color="auto" w:fill="1C2AA7" w:themeFill="accent2" w:themeFillShade="BF"/>
      </w:tcPr>
    </w:tblStylePr>
    <w:tblStylePr w:type="band1Vert">
      <w:tblPr/>
      <w:tcPr>
        <w:shd w:val="clear" w:color="auto" w:fill="959EED" w:themeFill="accent2" w:themeFillTint="7F"/>
      </w:tcPr>
    </w:tblStylePr>
    <w:tblStylePr w:type="band1Horz">
      <w:tblPr/>
      <w:tcPr>
        <w:shd w:val="clear" w:color="auto" w:fill="959EED" w:themeFill="accent2" w:themeFillTint="7F"/>
      </w:tcPr>
    </w:tblStylePr>
  </w:style>
  <w:style w:type="table" w:styleId="ColorfulGrid-Accent3">
    <w:name w:val="Colorful Grid Accent 3"/>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F4FCE8" w:themeFill="accent3" w:themeFillTint="33"/>
    </w:tcPr>
    <w:tblStylePr w:type="firstRow">
      <w:rPr>
        <w:b/>
        <w:bCs/>
      </w:rPr>
      <w:tblPr/>
      <w:tcPr>
        <w:shd w:val="clear" w:color="auto" w:fill="E9F9D1" w:themeFill="accent3" w:themeFillTint="66"/>
      </w:tcPr>
    </w:tblStylePr>
    <w:tblStylePr w:type="lastRow">
      <w:rPr>
        <w:b/>
        <w:bCs/>
        <w:color w:val="1D2030" w:themeColor="text1"/>
      </w:rPr>
      <w:tblPr/>
      <w:tcPr>
        <w:shd w:val="clear" w:color="auto" w:fill="E9F9D1" w:themeFill="accent3" w:themeFillTint="66"/>
      </w:tcPr>
    </w:tblStylePr>
    <w:tblStylePr w:type="firstCol">
      <w:rPr>
        <w:color w:val="FFFFFF" w:themeColor="background1"/>
      </w:rPr>
      <w:tblPr/>
      <w:tcPr>
        <w:shd w:val="clear" w:color="auto" w:fill="A0E439" w:themeFill="accent3" w:themeFillShade="BF"/>
      </w:tcPr>
    </w:tblStylePr>
    <w:tblStylePr w:type="lastCol">
      <w:rPr>
        <w:color w:val="FFFFFF" w:themeColor="background1"/>
      </w:rPr>
      <w:tblPr/>
      <w:tcPr>
        <w:shd w:val="clear" w:color="auto" w:fill="A0E439" w:themeFill="accent3" w:themeFillShade="BF"/>
      </w:tcPr>
    </w:tblStylePr>
    <w:tblStylePr w:type="band1Vert">
      <w:tblPr/>
      <w:tcPr>
        <w:shd w:val="clear" w:color="auto" w:fill="E3F7C6" w:themeFill="accent3" w:themeFillTint="7F"/>
      </w:tcPr>
    </w:tblStylePr>
    <w:tblStylePr w:type="band1Horz">
      <w:tblPr/>
      <w:tcPr>
        <w:shd w:val="clear" w:color="auto" w:fill="E3F7C6" w:themeFill="accent3" w:themeFillTint="7F"/>
      </w:tcPr>
    </w:tblStylePr>
  </w:style>
  <w:style w:type="table" w:styleId="ColorfulGrid-Accent4">
    <w:name w:val="Colorful Grid Accent 4"/>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FFFFEB" w:themeFill="accent4" w:themeFillTint="33"/>
    </w:tcPr>
    <w:tblStylePr w:type="firstRow">
      <w:rPr>
        <w:b/>
        <w:bCs/>
      </w:rPr>
      <w:tblPr/>
      <w:tcPr>
        <w:shd w:val="clear" w:color="auto" w:fill="FFFFD7" w:themeFill="accent4" w:themeFillTint="66"/>
      </w:tcPr>
    </w:tblStylePr>
    <w:tblStylePr w:type="lastRow">
      <w:rPr>
        <w:b/>
        <w:bCs/>
        <w:color w:val="1D2030" w:themeColor="text1"/>
      </w:rPr>
      <w:tblPr/>
      <w:tcPr>
        <w:shd w:val="clear" w:color="auto" w:fill="FFFFD7" w:themeFill="accent4" w:themeFillTint="66"/>
      </w:tcPr>
    </w:tblStylePr>
    <w:tblStylePr w:type="firstCol">
      <w:rPr>
        <w:color w:val="FFFFFF" w:themeColor="background1"/>
      </w:rPr>
      <w:tblPr/>
      <w:tcPr>
        <w:shd w:val="clear" w:color="auto" w:fill="FFFF34" w:themeFill="accent4" w:themeFillShade="BF"/>
      </w:tcPr>
    </w:tblStylePr>
    <w:tblStylePr w:type="lastCol">
      <w:rPr>
        <w:color w:val="FFFFFF" w:themeColor="background1"/>
      </w:rPr>
      <w:tblPr/>
      <w:tcPr>
        <w:shd w:val="clear" w:color="auto" w:fill="FFFF34" w:themeFill="accent4" w:themeFillShade="BF"/>
      </w:tcPr>
    </w:tblStylePr>
    <w:tblStylePr w:type="band1Vert">
      <w:tblPr/>
      <w:tcPr>
        <w:shd w:val="clear" w:color="auto" w:fill="FFFFCD" w:themeFill="accent4" w:themeFillTint="7F"/>
      </w:tcPr>
    </w:tblStylePr>
    <w:tblStylePr w:type="band1Horz">
      <w:tblPr/>
      <w:tcPr>
        <w:shd w:val="clear" w:color="auto" w:fill="FFFFCD" w:themeFill="accent4" w:themeFillTint="7F"/>
      </w:tcPr>
    </w:tblStylePr>
  </w:style>
  <w:style w:type="table" w:styleId="ColorfulGrid-Accent5">
    <w:name w:val="Colorful Grid Accent 5"/>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F9F9F9" w:themeFill="accent5" w:themeFillTint="33"/>
    </w:tcPr>
    <w:tblStylePr w:type="firstRow">
      <w:rPr>
        <w:b/>
        <w:bCs/>
      </w:rPr>
      <w:tblPr/>
      <w:tcPr>
        <w:shd w:val="clear" w:color="auto" w:fill="F3F3F3" w:themeFill="accent5" w:themeFillTint="66"/>
      </w:tcPr>
    </w:tblStylePr>
    <w:tblStylePr w:type="lastRow">
      <w:rPr>
        <w:b/>
        <w:bCs/>
        <w:color w:val="1D2030" w:themeColor="text1"/>
      </w:rPr>
      <w:tblPr/>
      <w:tcPr>
        <w:shd w:val="clear" w:color="auto" w:fill="F3F3F3" w:themeFill="accent5" w:themeFillTint="66"/>
      </w:tcPr>
    </w:tblStylePr>
    <w:tblStylePr w:type="firstCol">
      <w:rPr>
        <w:color w:val="FFFFFF" w:themeColor="background1"/>
      </w:rPr>
      <w:tblPr/>
      <w:tcPr>
        <w:shd w:val="clear" w:color="auto" w:fill="A8A8A8" w:themeFill="accent5" w:themeFillShade="BF"/>
      </w:tcPr>
    </w:tblStylePr>
    <w:tblStylePr w:type="lastCol">
      <w:rPr>
        <w:color w:val="FFFFFF" w:themeColor="background1"/>
      </w:rPr>
      <w:tblPr/>
      <w:tcPr>
        <w:shd w:val="clear" w:color="auto" w:fill="A8A8A8" w:themeFill="accent5" w:themeFillShade="BF"/>
      </w:tcPr>
    </w:tblStylePr>
    <w:tblStylePr w:type="band1Vert">
      <w:tblPr/>
      <w:tcPr>
        <w:shd w:val="clear" w:color="auto" w:fill="F0F0F0" w:themeFill="accent5" w:themeFillTint="7F"/>
      </w:tcPr>
    </w:tblStylePr>
    <w:tblStylePr w:type="band1Horz">
      <w:tblPr/>
      <w:tcPr>
        <w:shd w:val="clear" w:color="auto" w:fill="F0F0F0" w:themeFill="accent5" w:themeFillTint="7F"/>
      </w:tcPr>
    </w:tblStylePr>
  </w:style>
  <w:style w:type="table" w:styleId="ColorfulGrid-Accent6">
    <w:name w:val="Colorful Grid Accent 6"/>
    <w:basedOn w:val="TableNormal"/>
    <w:uiPriority w:val="98"/>
    <w:semiHidden/>
    <w:unhideWhenUsed/>
    <w:rsid w:val="00A652AD"/>
    <w:pPr>
      <w:spacing w:after="0" w:line="240" w:lineRule="auto"/>
    </w:pPr>
    <w:rPr>
      <w:color w:val="1D2030" w:themeColor="text1"/>
    </w:rPr>
    <w:tblPr>
      <w:tblStyleRowBandSize w:val="1"/>
      <w:tblStyleColBandSize w:val="1"/>
      <w:tblBorders>
        <w:insideH w:val="single" w:sz="4" w:space="0" w:color="FFFFFF" w:themeColor="background1"/>
      </w:tblBorders>
    </w:tblPr>
    <w:tcPr>
      <w:shd w:val="clear" w:color="auto" w:fill="F9FFFF" w:themeFill="accent6" w:themeFillTint="33"/>
    </w:tcPr>
    <w:tblStylePr w:type="firstRow">
      <w:rPr>
        <w:b/>
        <w:bCs/>
      </w:rPr>
      <w:tblPr/>
      <w:tcPr>
        <w:shd w:val="clear" w:color="auto" w:fill="F4FFFF" w:themeFill="accent6" w:themeFillTint="66"/>
      </w:tcPr>
    </w:tblStylePr>
    <w:tblStylePr w:type="lastRow">
      <w:rPr>
        <w:b/>
        <w:bCs/>
        <w:color w:val="1D2030" w:themeColor="text1"/>
      </w:rPr>
      <w:tblPr/>
      <w:tcPr>
        <w:shd w:val="clear" w:color="auto" w:fill="F4FFFF" w:themeFill="accent6" w:themeFillTint="66"/>
      </w:tcPr>
    </w:tblStylePr>
    <w:tblStylePr w:type="firstCol">
      <w:rPr>
        <w:color w:val="FFFFFF" w:themeColor="background1"/>
      </w:rPr>
      <w:tblPr/>
      <w:tcPr>
        <w:shd w:val="clear" w:color="auto" w:fill="6BFFFF" w:themeFill="accent6" w:themeFillShade="BF"/>
      </w:tcPr>
    </w:tblStylePr>
    <w:tblStylePr w:type="lastCol">
      <w:rPr>
        <w:color w:val="FFFFFF" w:themeColor="background1"/>
      </w:rPr>
      <w:tblPr/>
      <w:tcPr>
        <w:shd w:val="clear" w:color="auto" w:fill="6BFFFF" w:themeFill="accent6" w:themeFillShade="BF"/>
      </w:tcPr>
    </w:tblStylePr>
    <w:tblStylePr w:type="band1Vert">
      <w:tblPr/>
      <w:tcPr>
        <w:shd w:val="clear" w:color="auto" w:fill="F2FFFF" w:themeFill="accent6" w:themeFillTint="7F"/>
      </w:tcPr>
    </w:tblStylePr>
    <w:tblStylePr w:type="band1Horz">
      <w:tblPr/>
      <w:tcPr>
        <w:shd w:val="clear" w:color="auto" w:fill="F2FFFF" w:themeFill="accent6" w:themeFillTint="7F"/>
      </w:tcPr>
    </w:tblStylePr>
  </w:style>
  <w:style w:type="table" w:styleId="ColorfulList">
    <w:name w:val="Colorful List"/>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E4E6EF" w:themeFill="text1" w:themeFillTint="19"/>
    </w:tcPr>
    <w:tblStylePr w:type="firstRow">
      <w:rPr>
        <w:b/>
        <w:bCs/>
        <w:color w:val="FFFFFF" w:themeColor="background1"/>
      </w:rPr>
      <w:tblPr/>
      <w:tcPr>
        <w:tcBorders>
          <w:bottom w:val="single" w:sz="12" w:space="0" w:color="FFFFFF" w:themeColor="background1"/>
        </w:tcBorders>
        <w:shd w:val="clear" w:color="auto" w:fill="1E2DB2" w:themeFill="accent2" w:themeFillShade="CC"/>
      </w:tcPr>
    </w:tblStylePr>
    <w:tblStylePr w:type="lastRow">
      <w:rPr>
        <w:b/>
        <w:bCs/>
        <w:color w:val="1E2DB2" w:themeColor="accent2"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C0D6" w:themeFill="text1" w:themeFillTint="3F"/>
      </w:tcPr>
    </w:tblStylePr>
    <w:tblStylePr w:type="band1Horz">
      <w:tblPr/>
      <w:tcPr>
        <w:shd w:val="clear" w:color="auto" w:fill="C8CCDE" w:themeFill="text1" w:themeFillTint="33"/>
      </w:tcPr>
    </w:tblStylePr>
  </w:style>
  <w:style w:type="table" w:styleId="ColorfulList-Accent1">
    <w:name w:val="Colorful List Accent 1"/>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DDDAFF" w:themeFill="accent1" w:themeFillTint="19"/>
    </w:tcPr>
    <w:tblStylePr w:type="firstRow">
      <w:rPr>
        <w:b/>
        <w:bCs/>
        <w:color w:val="FFFFFF" w:themeColor="background1"/>
      </w:rPr>
      <w:tblPr/>
      <w:tcPr>
        <w:tcBorders>
          <w:bottom w:val="single" w:sz="12" w:space="0" w:color="FFFFFF" w:themeColor="background1"/>
        </w:tcBorders>
        <w:shd w:val="clear" w:color="auto" w:fill="1E2DB2" w:themeFill="accent2" w:themeFillShade="CC"/>
      </w:tcPr>
    </w:tblStylePr>
    <w:tblStylePr w:type="lastRow">
      <w:rPr>
        <w:b/>
        <w:bCs/>
        <w:color w:val="1E2DB2" w:themeColor="accent2"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A4FF" w:themeFill="accent1" w:themeFillTint="3F"/>
      </w:tcPr>
    </w:tblStylePr>
    <w:tblStylePr w:type="band1Horz">
      <w:tblPr/>
      <w:tcPr>
        <w:shd w:val="clear" w:color="auto" w:fill="BBB5FF" w:themeFill="accent1" w:themeFillTint="33"/>
      </w:tcPr>
    </w:tblStylePr>
  </w:style>
  <w:style w:type="table" w:styleId="ColorfulList-Accent2">
    <w:name w:val="Colorful List Accent 2"/>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EAEBFB" w:themeFill="accent2" w:themeFillTint="19"/>
    </w:tcPr>
    <w:tblStylePr w:type="firstRow">
      <w:rPr>
        <w:b/>
        <w:bCs/>
        <w:color w:val="FFFFFF" w:themeColor="background1"/>
      </w:rPr>
      <w:tblPr/>
      <w:tcPr>
        <w:tcBorders>
          <w:bottom w:val="single" w:sz="12" w:space="0" w:color="FFFFFF" w:themeColor="background1"/>
        </w:tcBorders>
        <w:shd w:val="clear" w:color="auto" w:fill="1E2DB2" w:themeFill="accent2" w:themeFillShade="CC"/>
      </w:tcPr>
    </w:tblStylePr>
    <w:tblStylePr w:type="lastRow">
      <w:rPr>
        <w:b/>
        <w:bCs/>
        <w:color w:val="1E2DB2" w:themeColor="accent2"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EF6" w:themeFill="accent2" w:themeFillTint="3F"/>
      </w:tcPr>
    </w:tblStylePr>
    <w:tblStylePr w:type="band1Horz">
      <w:tblPr/>
      <w:tcPr>
        <w:shd w:val="clear" w:color="auto" w:fill="D4D8F7" w:themeFill="accent2" w:themeFillTint="33"/>
      </w:tcPr>
    </w:tblStylePr>
  </w:style>
  <w:style w:type="table" w:styleId="ColorfulList-Accent3">
    <w:name w:val="Colorful List Accent 3"/>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F9FDF3" w:themeFill="accent3" w:themeFillTint="19"/>
    </w:tcPr>
    <w:tblStylePr w:type="firstRow">
      <w:rPr>
        <w:b/>
        <w:bCs/>
        <w:color w:val="FFFFFF" w:themeColor="background1"/>
      </w:rPr>
      <w:tblPr/>
      <w:tcPr>
        <w:tcBorders>
          <w:bottom w:val="single" w:sz="12" w:space="0" w:color="FFFFFF" w:themeColor="background1"/>
        </w:tcBorders>
        <w:shd w:val="clear" w:color="auto" w:fill="FFFF49" w:themeFill="accent4" w:themeFillShade="CC"/>
      </w:tcPr>
    </w:tblStylePr>
    <w:tblStylePr w:type="lastRow">
      <w:rPr>
        <w:b/>
        <w:bCs/>
        <w:color w:val="FFFF49" w:themeColor="accent4"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BE3" w:themeFill="accent3" w:themeFillTint="3F"/>
      </w:tcPr>
    </w:tblStylePr>
    <w:tblStylePr w:type="band1Horz">
      <w:tblPr/>
      <w:tcPr>
        <w:shd w:val="clear" w:color="auto" w:fill="F4FCE8" w:themeFill="accent3" w:themeFillTint="33"/>
      </w:tcPr>
    </w:tblStylePr>
  </w:style>
  <w:style w:type="table" w:styleId="ColorfulList-Accent4">
    <w:name w:val="Colorful List Accent 4"/>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FFFFF5" w:themeFill="accent4" w:themeFillTint="19"/>
    </w:tcPr>
    <w:tblStylePr w:type="firstRow">
      <w:rPr>
        <w:b/>
        <w:bCs/>
        <w:color w:val="FFFFFF" w:themeColor="background1"/>
      </w:rPr>
      <w:tblPr/>
      <w:tcPr>
        <w:tcBorders>
          <w:bottom w:val="single" w:sz="12" w:space="0" w:color="FFFFFF" w:themeColor="background1"/>
        </w:tcBorders>
        <w:shd w:val="clear" w:color="auto" w:fill="A8E74A" w:themeFill="accent3" w:themeFillShade="CC"/>
      </w:tcPr>
    </w:tblStylePr>
    <w:tblStylePr w:type="lastRow">
      <w:rPr>
        <w:b/>
        <w:bCs/>
        <w:color w:val="A8E74A" w:themeColor="accent3"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E6" w:themeFill="accent4" w:themeFillTint="3F"/>
      </w:tcPr>
    </w:tblStylePr>
    <w:tblStylePr w:type="band1Horz">
      <w:tblPr/>
      <w:tcPr>
        <w:shd w:val="clear" w:color="auto" w:fill="FFFFEB" w:themeFill="accent4" w:themeFillTint="33"/>
      </w:tcPr>
    </w:tblStylePr>
  </w:style>
  <w:style w:type="table" w:styleId="ColorfulList-Accent5">
    <w:name w:val="Colorful List Accent 5"/>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FCFCFC" w:themeFill="accent5" w:themeFillTint="19"/>
    </w:tcPr>
    <w:tblStylePr w:type="firstRow">
      <w:rPr>
        <w:b/>
        <w:bCs/>
        <w:color w:val="FFFFFF" w:themeColor="background1"/>
      </w:rPr>
      <w:tblPr/>
      <w:tcPr>
        <w:tcBorders>
          <w:bottom w:val="single" w:sz="12" w:space="0" w:color="FFFFFF" w:themeColor="background1"/>
        </w:tcBorders>
        <w:shd w:val="clear" w:color="auto" w:fill="84FFFF" w:themeFill="accent6" w:themeFillShade="CC"/>
      </w:tcPr>
    </w:tblStylePr>
    <w:tblStylePr w:type="lastRow">
      <w:rPr>
        <w:b/>
        <w:bCs/>
        <w:color w:val="84FFFF" w:themeColor="accent6"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7F7" w:themeFill="accent5" w:themeFillTint="3F"/>
      </w:tcPr>
    </w:tblStylePr>
    <w:tblStylePr w:type="band1Horz">
      <w:tblPr/>
      <w:tcPr>
        <w:shd w:val="clear" w:color="auto" w:fill="F9F9F9" w:themeFill="accent5" w:themeFillTint="33"/>
      </w:tcPr>
    </w:tblStylePr>
  </w:style>
  <w:style w:type="table" w:styleId="ColorfulList-Accent6">
    <w:name w:val="Colorful List Accent 6"/>
    <w:basedOn w:val="TableNormal"/>
    <w:uiPriority w:val="98"/>
    <w:semiHidden/>
    <w:unhideWhenUsed/>
    <w:rsid w:val="00A652AD"/>
    <w:pPr>
      <w:spacing w:after="0" w:line="240" w:lineRule="auto"/>
    </w:pPr>
    <w:rPr>
      <w:color w:val="1D2030" w:themeColor="text1"/>
    </w:rPr>
    <w:tblPr>
      <w:tblStyleRowBandSize w:val="1"/>
      <w:tblStyleColBandSize w:val="1"/>
    </w:tblPr>
    <w:tcPr>
      <w:shd w:val="clear" w:color="auto" w:fill="FCFFFF" w:themeFill="accent6" w:themeFillTint="19"/>
    </w:tcPr>
    <w:tblStylePr w:type="firstRow">
      <w:rPr>
        <w:b/>
        <w:bCs/>
        <w:color w:val="FFFFFF" w:themeColor="background1"/>
      </w:rPr>
      <w:tblPr/>
      <w:tcPr>
        <w:tcBorders>
          <w:bottom w:val="single" w:sz="12" w:space="0" w:color="FFFFFF" w:themeColor="background1"/>
        </w:tcBorders>
        <w:shd w:val="clear" w:color="auto" w:fill="B4B4B4" w:themeFill="accent5" w:themeFillShade="CC"/>
      </w:tcPr>
    </w:tblStylePr>
    <w:tblStylePr w:type="lastRow">
      <w:rPr>
        <w:b/>
        <w:bCs/>
        <w:color w:val="B4B4B4" w:themeColor="accent5" w:themeShade="CC"/>
      </w:rPr>
      <w:tblPr/>
      <w:tcPr>
        <w:tcBorders>
          <w:top w:val="single" w:sz="12" w:space="0" w:color="1D203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FF" w:themeFill="accent6" w:themeFillTint="3F"/>
      </w:tcPr>
    </w:tblStylePr>
    <w:tblStylePr w:type="band1Horz">
      <w:tblPr/>
      <w:tcPr>
        <w:shd w:val="clear" w:color="auto" w:fill="F9FFFF" w:themeFill="accent6" w:themeFillTint="33"/>
      </w:tcPr>
    </w:tblStylePr>
  </w:style>
  <w:style w:type="table" w:styleId="ColorfulShading">
    <w:name w:val="Colorful Shading"/>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2B3DDB" w:themeColor="accent2"/>
        <w:left w:val="single" w:sz="4" w:space="0" w:color="1D2030" w:themeColor="text1"/>
        <w:bottom w:val="single" w:sz="4" w:space="0" w:color="1D2030" w:themeColor="text1"/>
        <w:right w:val="single" w:sz="4" w:space="0" w:color="1D2030" w:themeColor="text1"/>
        <w:insideH w:val="single" w:sz="4" w:space="0" w:color="FFFFFF" w:themeColor="background1"/>
        <w:insideV w:val="single" w:sz="4" w:space="0" w:color="FFFFFF" w:themeColor="background1"/>
      </w:tblBorders>
    </w:tblPr>
    <w:tcPr>
      <w:shd w:val="clear" w:color="auto" w:fill="E4E6EF" w:themeFill="text1" w:themeFillTint="19"/>
    </w:tcPr>
    <w:tblStylePr w:type="firstRow">
      <w:rPr>
        <w:b/>
        <w:bCs/>
      </w:rPr>
      <w:tblPr/>
      <w:tcPr>
        <w:tcBorders>
          <w:top w:val="nil"/>
          <w:left w:val="nil"/>
          <w:bottom w:val="single" w:sz="24" w:space="0" w:color="2B3DD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131C" w:themeFill="text1" w:themeFillShade="99"/>
      </w:tcPr>
    </w:tblStylePr>
    <w:tblStylePr w:type="firstCol">
      <w:rPr>
        <w:color w:val="FFFFFF" w:themeColor="background1"/>
      </w:rPr>
      <w:tblPr/>
      <w:tcPr>
        <w:tcBorders>
          <w:top w:val="nil"/>
          <w:left w:val="nil"/>
          <w:bottom w:val="nil"/>
          <w:right w:val="nil"/>
          <w:insideH w:val="single" w:sz="4" w:space="0" w:color="11131C" w:themeColor="text1" w:themeShade="99"/>
          <w:insideV w:val="nil"/>
        </w:tcBorders>
        <w:shd w:val="clear" w:color="auto" w:fill="11131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51823" w:themeFill="text1" w:themeFillShade="BF"/>
      </w:tcPr>
    </w:tblStylePr>
    <w:tblStylePr w:type="band1Vert">
      <w:tblPr/>
      <w:tcPr>
        <w:shd w:val="clear" w:color="auto" w:fill="9299BD" w:themeFill="text1" w:themeFillTint="66"/>
      </w:tcPr>
    </w:tblStylePr>
    <w:tblStylePr w:type="band1Horz">
      <w:tblPr/>
      <w:tcPr>
        <w:shd w:val="clear" w:color="auto" w:fill="7880AD" w:themeFill="text1" w:themeFillTint="7F"/>
      </w:tcPr>
    </w:tblStylePr>
    <w:tblStylePr w:type="neCell">
      <w:rPr>
        <w:color w:val="1D2030" w:themeColor="text1"/>
      </w:rPr>
    </w:tblStylePr>
    <w:tblStylePr w:type="nwCell">
      <w:rPr>
        <w:color w:val="1D2030" w:themeColor="text1"/>
      </w:rPr>
    </w:tblStylePr>
  </w:style>
  <w:style w:type="table" w:styleId="ColorfulShading-Accent1">
    <w:name w:val="Colorful Shading Accent 1"/>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2B3DDB" w:themeColor="accent2"/>
        <w:left w:val="single" w:sz="4" w:space="0" w:color="0C008E" w:themeColor="accent1"/>
        <w:bottom w:val="single" w:sz="4" w:space="0" w:color="0C008E" w:themeColor="accent1"/>
        <w:right w:val="single" w:sz="4" w:space="0" w:color="0C008E" w:themeColor="accent1"/>
        <w:insideH w:val="single" w:sz="4" w:space="0" w:color="FFFFFF" w:themeColor="background1"/>
        <w:insideV w:val="single" w:sz="4" w:space="0" w:color="FFFFFF" w:themeColor="background1"/>
      </w:tblBorders>
    </w:tblPr>
    <w:tcPr>
      <w:shd w:val="clear" w:color="auto" w:fill="DDDAFF" w:themeFill="accent1" w:themeFillTint="19"/>
    </w:tcPr>
    <w:tblStylePr w:type="firstRow">
      <w:rPr>
        <w:b/>
        <w:bCs/>
      </w:rPr>
      <w:tblPr/>
      <w:tcPr>
        <w:tcBorders>
          <w:top w:val="nil"/>
          <w:left w:val="nil"/>
          <w:bottom w:val="single" w:sz="24" w:space="0" w:color="2B3DD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0055" w:themeFill="accent1" w:themeFillShade="99"/>
      </w:tcPr>
    </w:tblStylePr>
    <w:tblStylePr w:type="firstCol">
      <w:rPr>
        <w:color w:val="FFFFFF" w:themeColor="background1"/>
      </w:rPr>
      <w:tblPr/>
      <w:tcPr>
        <w:tcBorders>
          <w:top w:val="nil"/>
          <w:left w:val="nil"/>
          <w:bottom w:val="nil"/>
          <w:right w:val="nil"/>
          <w:insideH w:val="single" w:sz="4" w:space="0" w:color="070055" w:themeColor="accent1" w:themeShade="99"/>
          <w:insideV w:val="nil"/>
        </w:tcBorders>
        <w:shd w:val="clear" w:color="auto" w:fill="0700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70055" w:themeFill="accent1" w:themeFillShade="99"/>
      </w:tcPr>
    </w:tblStylePr>
    <w:tblStylePr w:type="band1Vert">
      <w:tblPr/>
      <w:tcPr>
        <w:shd w:val="clear" w:color="auto" w:fill="776BFF" w:themeFill="accent1" w:themeFillTint="66"/>
      </w:tcPr>
    </w:tblStylePr>
    <w:tblStylePr w:type="band1Horz">
      <w:tblPr/>
      <w:tcPr>
        <w:shd w:val="clear" w:color="auto" w:fill="5647FF" w:themeFill="accent1" w:themeFillTint="7F"/>
      </w:tcPr>
    </w:tblStylePr>
    <w:tblStylePr w:type="neCell">
      <w:rPr>
        <w:color w:val="1D2030" w:themeColor="text1"/>
      </w:rPr>
    </w:tblStylePr>
    <w:tblStylePr w:type="nwCell">
      <w:rPr>
        <w:color w:val="1D2030" w:themeColor="text1"/>
      </w:rPr>
    </w:tblStylePr>
  </w:style>
  <w:style w:type="table" w:styleId="ColorfulShading-Accent2">
    <w:name w:val="Colorful Shading Accent 2"/>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2B3DDB" w:themeColor="accent2"/>
        <w:left w:val="single" w:sz="4" w:space="0" w:color="2B3DDB" w:themeColor="accent2"/>
        <w:bottom w:val="single" w:sz="4" w:space="0" w:color="2B3DDB" w:themeColor="accent2"/>
        <w:right w:val="single" w:sz="4" w:space="0" w:color="2B3DDB" w:themeColor="accent2"/>
        <w:insideH w:val="single" w:sz="4" w:space="0" w:color="FFFFFF" w:themeColor="background1"/>
        <w:insideV w:val="single" w:sz="4" w:space="0" w:color="FFFFFF" w:themeColor="background1"/>
      </w:tblBorders>
    </w:tblPr>
    <w:tcPr>
      <w:shd w:val="clear" w:color="auto" w:fill="EAEBFB" w:themeFill="accent2" w:themeFillTint="19"/>
    </w:tcPr>
    <w:tblStylePr w:type="firstRow">
      <w:rPr>
        <w:b/>
        <w:bCs/>
      </w:rPr>
      <w:tblPr/>
      <w:tcPr>
        <w:tcBorders>
          <w:top w:val="nil"/>
          <w:left w:val="nil"/>
          <w:bottom w:val="single" w:sz="24" w:space="0" w:color="2B3DD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2286" w:themeFill="accent2" w:themeFillShade="99"/>
      </w:tcPr>
    </w:tblStylePr>
    <w:tblStylePr w:type="firstCol">
      <w:rPr>
        <w:color w:val="FFFFFF" w:themeColor="background1"/>
      </w:rPr>
      <w:tblPr/>
      <w:tcPr>
        <w:tcBorders>
          <w:top w:val="nil"/>
          <w:left w:val="nil"/>
          <w:bottom w:val="nil"/>
          <w:right w:val="nil"/>
          <w:insideH w:val="single" w:sz="4" w:space="0" w:color="162286" w:themeColor="accent2" w:themeShade="99"/>
          <w:insideV w:val="nil"/>
        </w:tcBorders>
        <w:shd w:val="clear" w:color="auto" w:fill="16228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2286" w:themeFill="accent2" w:themeFillShade="99"/>
      </w:tcPr>
    </w:tblStylePr>
    <w:tblStylePr w:type="band1Vert">
      <w:tblPr/>
      <w:tcPr>
        <w:shd w:val="clear" w:color="auto" w:fill="AAB1F0" w:themeFill="accent2" w:themeFillTint="66"/>
      </w:tcPr>
    </w:tblStylePr>
    <w:tblStylePr w:type="band1Horz">
      <w:tblPr/>
      <w:tcPr>
        <w:shd w:val="clear" w:color="auto" w:fill="959EED" w:themeFill="accent2" w:themeFillTint="7F"/>
      </w:tcPr>
    </w:tblStylePr>
    <w:tblStylePr w:type="neCell">
      <w:rPr>
        <w:color w:val="1D2030" w:themeColor="text1"/>
      </w:rPr>
    </w:tblStylePr>
    <w:tblStylePr w:type="nwCell">
      <w:rPr>
        <w:color w:val="1D2030" w:themeColor="text1"/>
      </w:rPr>
    </w:tblStylePr>
  </w:style>
  <w:style w:type="table" w:styleId="ColorfulShading-Accent3">
    <w:name w:val="Colorful Shading Accent 3"/>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FFFF9C" w:themeColor="accent4"/>
        <w:left w:val="single" w:sz="4" w:space="0" w:color="C9F08E" w:themeColor="accent3"/>
        <w:bottom w:val="single" w:sz="4" w:space="0" w:color="C9F08E" w:themeColor="accent3"/>
        <w:right w:val="single" w:sz="4" w:space="0" w:color="C9F08E" w:themeColor="accent3"/>
        <w:insideH w:val="single" w:sz="4" w:space="0" w:color="FFFFFF" w:themeColor="background1"/>
        <w:insideV w:val="single" w:sz="4" w:space="0" w:color="FFFFFF" w:themeColor="background1"/>
      </w:tblBorders>
    </w:tblPr>
    <w:tcPr>
      <w:shd w:val="clear" w:color="auto" w:fill="F9FDF3" w:themeFill="accent3" w:themeFillTint="19"/>
    </w:tcPr>
    <w:tblStylePr w:type="firstRow">
      <w:rPr>
        <w:b/>
        <w:bCs/>
      </w:rPr>
      <w:tblPr/>
      <w:tcPr>
        <w:tcBorders>
          <w:top w:val="nil"/>
          <w:left w:val="nil"/>
          <w:bottom w:val="single" w:sz="24" w:space="0" w:color="FFFF9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CA1B" w:themeFill="accent3" w:themeFillShade="99"/>
      </w:tcPr>
    </w:tblStylePr>
    <w:tblStylePr w:type="firstCol">
      <w:rPr>
        <w:color w:val="FFFFFF" w:themeColor="background1"/>
      </w:rPr>
      <w:tblPr/>
      <w:tcPr>
        <w:tcBorders>
          <w:top w:val="nil"/>
          <w:left w:val="nil"/>
          <w:bottom w:val="nil"/>
          <w:right w:val="nil"/>
          <w:insideH w:val="single" w:sz="4" w:space="0" w:color="84CA1B" w:themeColor="accent3" w:themeShade="99"/>
          <w:insideV w:val="nil"/>
        </w:tcBorders>
        <w:shd w:val="clear" w:color="auto" w:fill="84CA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4CA1B" w:themeFill="accent3" w:themeFillShade="99"/>
      </w:tcPr>
    </w:tblStylePr>
    <w:tblStylePr w:type="band1Vert">
      <w:tblPr/>
      <w:tcPr>
        <w:shd w:val="clear" w:color="auto" w:fill="E9F9D1" w:themeFill="accent3" w:themeFillTint="66"/>
      </w:tcPr>
    </w:tblStylePr>
    <w:tblStylePr w:type="band1Horz">
      <w:tblPr/>
      <w:tcPr>
        <w:shd w:val="clear" w:color="auto" w:fill="E3F7C6" w:themeFill="accent3" w:themeFillTint="7F"/>
      </w:tcPr>
    </w:tblStylePr>
  </w:style>
  <w:style w:type="table" w:styleId="ColorfulShading-Accent4">
    <w:name w:val="Colorful Shading Accent 4"/>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C9F08E" w:themeColor="accent3"/>
        <w:left w:val="single" w:sz="4" w:space="0" w:color="FFFF9C" w:themeColor="accent4"/>
        <w:bottom w:val="single" w:sz="4" w:space="0" w:color="FFFF9C" w:themeColor="accent4"/>
        <w:right w:val="single" w:sz="4" w:space="0" w:color="FFFF9C" w:themeColor="accent4"/>
        <w:insideH w:val="single" w:sz="4" w:space="0" w:color="FFFFFF" w:themeColor="background1"/>
        <w:insideV w:val="single" w:sz="4" w:space="0" w:color="FFFFFF" w:themeColor="background1"/>
      </w:tblBorders>
    </w:tblPr>
    <w:tcPr>
      <w:shd w:val="clear" w:color="auto" w:fill="FFFFF5" w:themeFill="accent4" w:themeFillTint="19"/>
    </w:tcPr>
    <w:tblStylePr w:type="firstRow">
      <w:rPr>
        <w:b/>
        <w:bCs/>
      </w:rPr>
      <w:tblPr/>
      <w:tcPr>
        <w:tcBorders>
          <w:top w:val="nil"/>
          <w:left w:val="nil"/>
          <w:bottom w:val="single" w:sz="24" w:space="0" w:color="C9F0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6F600" w:themeFill="accent4" w:themeFillShade="99"/>
      </w:tcPr>
    </w:tblStylePr>
    <w:tblStylePr w:type="firstCol">
      <w:rPr>
        <w:color w:val="FFFFFF" w:themeColor="background1"/>
      </w:rPr>
      <w:tblPr/>
      <w:tcPr>
        <w:tcBorders>
          <w:top w:val="nil"/>
          <w:left w:val="nil"/>
          <w:bottom w:val="nil"/>
          <w:right w:val="nil"/>
          <w:insideH w:val="single" w:sz="4" w:space="0" w:color="F6F600" w:themeColor="accent4" w:themeShade="99"/>
          <w:insideV w:val="nil"/>
        </w:tcBorders>
        <w:shd w:val="clear" w:color="auto" w:fill="F6F6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6F600" w:themeFill="accent4" w:themeFillShade="99"/>
      </w:tcPr>
    </w:tblStylePr>
    <w:tblStylePr w:type="band1Vert">
      <w:tblPr/>
      <w:tcPr>
        <w:shd w:val="clear" w:color="auto" w:fill="FFFFD7" w:themeFill="accent4" w:themeFillTint="66"/>
      </w:tcPr>
    </w:tblStylePr>
    <w:tblStylePr w:type="band1Horz">
      <w:tblPr/>
      <w:tcPr>
        <w:shd w:val="clear" w:color="auto" w:fill="FFFFCD" w:themeFill="accent4" w:themeFillTint="7F"/>
      </w:tcPr>
    </w:tblStylePr>
    <w:tblStylePr w:type="neCell">
      <w:rPr>
        <w:color w:val="1D2030" w:themeColor="text1"/>
      </w:rPr>
    </w:tblStylePr>
    <w:tblStylePr w:type="nwCell">
      <w:rPr>
        <w:color w:val="1D2030" w:themeColor="text1"/>
      </w:rPr>
    </w:tblStylePr>
  </w:style>
  <w:style w:type="table" w:styleId="ColorfulShading-Accent5">
    <w:name w:val="Colorful Shading Accent 5"/>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E5FFFF" w:themeColor="accent6"/>
        <w:left w:val="single" w:sz="4" w:space="0" w:color="E1E1E1" w:themeColor="accent5"/>
        <w:bottom w:val="single" w:sz="4" w:space="0" w:color="E1E1E1" w:themeColor="accent5"/>
        <w:right w:val="single" w:sz="4" w:space="0" w:color="E1E1E1" w:themeColor="accent5"/>
        <w:insideH w:val="single" w:sz="4" w:space="0" w:color="FFFFFF" w:themeColor="background1"/>
        <w:insideV w:val="single" w:sz="4" w:space="0" w:color="FFFFFF" w:themeColor="background1"/>
      </w:tblBorders>
    </w:tblPr>
    <w:tcPr>
      <w:shd w:val="clear" w:color="auto" w:fill="FCFCFC" w:themeFill="accent5" w:themeFillTint="19"/>
    </w:tcPr>
    <w:tblStylePr w:type="firstRow">
      <w:rPr>
        <w:b/>
        <w:bCs/>
      </w:rPr>
      <w:tblPr/>
      <w:tcPr>
        <w:tcBorders>
          <w:top w:val="nil"/>
          <w:left w:val="nil"/>
          <w:bottom w:val="single" w:sz="24" w:space="0" w:color="E5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8787" w:themeFill="accent5" w:themeFillShade="99"/>
      </w:tcPr>
    </w:tblStylePr>
    <w:tblStylePr w:type="firstCol">
      <w:rPr>
        <w:color w:val="FFFFFF" w:themeColor="background1"/>
      </w:rPr>
      <w:tblPr/>
      <w:tcPr>
        <w:tcBorders>
          <w:top w:val="nil"/>
          <w:left w:val="nil"/>
          <w:bottom w:val="nil"/>
          <w:right w:val="nil"/>
          <w:insideH w:val="single" w:sz="4" w:space="0" w:color="878787" w:themeColor="accent5" w:themeShade="99"/>
          <w:insideV w:val="nil"/>
        </w:tcBorders>
        <w:shd w:val="clear" w:color="auto" w:fill="87878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8787" w:themeFill="accent5" w:themeFillShade="99"/>
      </w:tcPr>
    </w:tblStylePr>
    <w:tblStylePr w:type="band1Vert">
      <w:tblPr/>
      <w:tcPr>
        <w:shd w:val="clear" w:color="auto" w:fill="F3F3F3" w:themeFill="accent5" w:themeFillTint="66"/>
      </w:tcPr>
    </w:tblStylePr>
    <w:tblStylePr w:type="band1Horz">
      <w:tblPr/>
      <w:tcPr>
        <w:shd w:val="clear" w:color="auto" w:fill="F0F0F0" w:themeFill="accent5" w:themeFillTint="7F"/>
      </w:tcPr>
    </w:tblStylePr>
    <w:tblStylePr w:type="neCell">
      <w:rPr>
        <w:color w:val="1D2030" w:themeColor="text1"/>
      </w:rPr>
    </w:tblStylePr>
    <w:tblStylePr w:type="nwCell">
      <w:rPr>
        <w:color w:val="1D2030" w:themeColor="text1"/>
      </w:rPr>
    </w:tblStylePr>
  </w:style>
  <w:style w:type="table" w:styleId="ColorfulShading-Accent6">
    <w:name w:val="Colorful Shading Accent 6"/>
    <w:basedOn w:val="TableNormal"/>
    <w:uiPriority w:val="98"/>
    <w:semiHidden/>
    <w:unhideWhenUsed/>
    <w:rsid w:val="00A652AD"/>
    <w:pPr>
      <w:spacing w:after="0" w:line="240" w:lineRule="auto"/>
    </w:pPr>
    <w:rPr>
      <w:color w:val="1D2030" w:themeColor="text1"/>
    </w:rPr>
    <w:tblPr>
      <w:tblStyleRowBandSize w:val="1"/>
      <w:tblStyleColBandSize w:val="1"/>
      <w:tblBorders>
        <w:top w:val="single" w:sz="24" w:space="0" w:color="E1E1E1" w:themeColor="accent5"/>
        <w:left w:val="single" w:sz="4" w:space="0" w:color="E5FFFF" w:themeColor="accent6"/>
        <w:bottom w:val="single" w:sz="4" w:space="0" w:color="E5FFFF" w:themeColor="accent6"/>
        <w:right w:val="single" w:sz="4" w:space="0" w:color="E5FFFF" w:themeColor="accent6"/>
        <w:insideH w:val="single" w:sz="4" w:space="0" w:color="FFFFFF" w:themeColor="background1"/>
        <w:insideV w:val="single" w:sz="4" w:space="0" w:color="FFFFFF" w:themeColor="background1"/>
      </w:tblBorders>
    </w:tblPr>
    <w:tcPr>
      <w:shd w:val="clear" w:color="auto" w:fill="FCFFFF" w:themeFill="accent6" w:themeFillTint="19"/>
    </w:tcPr>
    <w:tblStylePr w:type="firstRow">
      <w:rPr>
        <w:b/>
        <w:bCs/>
      </w:rPr>
      <w:tblPr/>
      <w:tcPr>
        <w:tcBorders>
          <w:top w:val="nil"/>
          <w:left w:val="nil"/>
          <w:bottom w:val="single" w:sz="24" w:space="0" w:color="E1E1E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FFFF" w:themeFill="accent6" w:themeFillShade="99"/>
      </w:tcPr>
    </w:tblStylePr>
    <w:tblStylePr w:type="firstCol">
      <w:rPr>
        <w:color w:val="FFFFFF" w:themeColor="background1"/>
      </w:rPr>
      <w:tblPr/>
      <w:tcPr>
        <w:tcBorders>
          <w:top w:val="nil"/>
          <w:left w:val="nil"/>
          <w:bottom w:val="nil"/>
          <w:right w:val="nil"/>
          <w:insideH w:val="single" w:sz="4" w:space="0" w:color="23FFFF" w:themeColor="accent6" w:themeShade="99"/>
          <w:insideV w:val="nil"/>
        </w:tcBorders>
        <w:shd w:val="clear" w:color="auto" w:fill="23FF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3FFFF" w:themeFill="accent6" w:themeFillShade="99"/>
      </w:tcPr>
    </w:tblStylePr>
    <w:tblStylePr w:type="band1Vert">
      <w:tblPr/>
      <w:tcPr>
        <w:shd w:val="clear" w:color="auto" w:fill="F4FFFF" w:themeFill="accent6" w:themeFillTint="66"/>
      </w:tcPr>
    </w:tblStylePr>
    <w:tblStylePr w:type="band1Horz">
      <w:tblPr/>
      <w:tcPr>
        <w:shd w:val="clear" w:color="auto" w:fill="F2FFFF" w:themeFill="accent6" w:themeFillTint="7F"/>
      </w:tcPr>
    </w:tblStylePr>
    <w:tblStylePr w:type="neCell">
      <w:rPr>
        <w:color w:val="1D2030" w:themeColor="text1"/>
      </w:rPr>
    </w:tblStylePr>
    <w:tblStylePr w:type="nwCell">
      <w:rPr>
        <w:color w:val="1D2030" w:themeColor="text1"/>
      </w:rPr>
    </w:tblStylePr>
  </w:style>
  <w:style w:type="table" w:styleId="DarkList">
    <w:name w:val="Dark List"/>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1D2030" w:themeFill="text1"/>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0E0F17"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5182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51823" w:themeFill="text1" w:themeFillShade="BF"/>
      </w:tcPr>
    </w:tblStylePr>
    <w:tblStylePr w:type="band1Vert">
      <w:tblPr/>
      <w:tcPr>
        <w:tcBorders>
          <w:top w:val="nil"/>
          <w:left w:val="nil"/>
          <w:bottom w:val="nil"/>
          <w:right w:val="nil"/>
          <w:insideH w:val="nil"/>
          <w:insideV w:val="nil"/>
        </w:tcBorders>
        <w:shd w:val="clear" w:color="auto" w:fill="151823" w:themeFill="text1" w:themeFillShade="BF"/>
      </w:tcPr>
    </w:tblStylePr>
    <w:tblStylePr w:type="band1Horz">
      <w:tblPr/>
      <w:tcPr>
        <w:tcBorders>
          <w:top w:val="nil"/>
          <w:left w:val="nil"/>
          <w:bottom w:val="nil"/>
          <w:right w:val="nil"/>
          <w:insideH w:val="nil"/>
          <w:insideV w:val="nil"/>
        </w:tcBorders>
        <w:shd w:val="clear" w:color="auto" w:fill="151823" w:themeFill="text1" w:themeFillShade="BF"/>
      </w:tcPr>
    </w:tblStylePr>
  </w:style>
  <w:style w:type="table" w:styleId="DarkList-Accent1">
    <w:name w:val="Dark List Accent 1"/>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0C008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05004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00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006A" w:themeFill="accent1" w:themeFillShade="BF"/>
      </w:tcPr>
    </w:tblStylePr>
    <w:tblStylePr w:type="band1Vert">
      <w:tblPr/>
      <w:tcPr>
        <w:tcBorders>
          <w:top w:val="nil"/>
          <w:left w:val="nil"/>
          <w:bottom w:val="nil"/>
          <w:right w:val="nil"/>
          <w:insideH w:val="nil"/>
          <w:insideV w:val="nil"/>
        </w:tcBorders>
        <w:shd w:val="clear" w:color="auto" w:fill="08006A" w:themeFill="accent1" w:themeFillShade="BF"/>
      </w:tcPr>
    </w:tblStylePr>
    <w:tblStylePr w:type="band1Horz">
      <w:tblPr/>
      <w:tcPr>
        <w:tcBorders>
          <w:top w:val="nil"/>
          <w:left w:val="nil"/>
          <w:bottom w:val="nil"/>
          <w:right w:val="nil"/>
          <w:insideH w:val="nil"/>
          <w:insideV w:val="nil"/>
        </w:tcBorders>
        <w:shd w:val="clear" w:color="auto" w:fill="08006A" w:themeFill="accent1" w:themeFillShade="BF"/>
      </w:tcPr>
    </w:tblStylePr>
  </w:style>
  <w:style w:type="table" w:styleId="DarkList-Accent2">
    <w:name w:val="Dark List Accent 2"/>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2B3DD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131C6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C2AA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C2AA7" w:themeFill="accent2" w:themeFillShade="BF"/>
      </w:tcPr>
    </w:tblStylePr>
    <w:tblStylePr w:type="band1Vert">
      <w:tblPr/>
      <w:tcPr>
        <w:tcBorders>
          <w:top w:val="nil"/>
          <w:left w:val="nil"/>
          <w:bottom w:val="nil"/>
          <w:right w:val="nil"/>
          <w:insideH w:val="nil"/>
          <w:insideV w:val="nil"/>
        </w:tcBorders>
        <w:shd w:val="clear" w:color="auto" w:fill="1C2AA7" w:themeFill="accent2" w:themeFillShade="BF"/>
      </w:tcPr>
    </w:tblStylePr>
    <w:tblStylePr w:type="band1Horz">
      <w:tblPr/>
      <w:tcPr>
        <w:tcBorders>
          <w:top w:val="nil"/>
          <w:left w:val="nil"/>
          <w:bottom w:val="nil"/>
          <w:right w:val="nil"/>
          <w:insideH w:val="nil"/>
          <w:insideV w:val="nil"/>
        </w:tcBorders>
        <w:shd w:val="clear" w:color="auto" w:fill="1C2AA7" w:themeFill="accent2" w:themeFillShade="BF"/>
      </w:tcPr>
    </w:tblStylePr>
  </w:style>
  <w:style w:type="table" w:styleId="DarkList-Accent3">
    <w:name w:val="Dark List Accent 3"/>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C9F0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6DA7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E43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E439" w:themeFill="accent3" w:themeFillShade="BF"/>
      </w:tcPr>
    </w:tblStylePr>
    <w:tblStylePr w:type="band1Vert">
      <w:tblPr/>
      <w:tcPr>
        <w:tcBorders>
          <w:top w:val="nil"/>
          <w:left w:val="nil"/>
          <w:bottom w:val="nil"/>
          <w:right w:val="nil"/>
          <w:insideH w:val="nil"/>
          <w:insideV w:val="nil"/>
        </w:tcBorders>
        <w:shd w:val="clear" w:color="auto" w:fill="A0E439" w:themeFill="accent3" w:themeFillShade="BF"/>
      </w:tcPr>
    </w:tblStylePr>
    <w:tblStylePr w:type="band1Horz">
      <w:tblPr/>
      <w:tcPr>
        <w:tcBorders>
          <w:top w:val="nil"/>
          <w:left w:val="nil"/>
          <w:bottom w:val="nil"/>
          <w:right w:val="nil"/>
          <w:insideH w:val="nil"/>
          <w:insideV w:val="nil"/>
        </w:tcBorders>
        <w:shd w:val="clear" w:color="auto" w:fill="A0E439" w:themeFill="accent3" w:themeFillShade="BF"/>
      </w:tcPr>
    </w:tblStylePr>
  </w:style>
  <w:style w:type="table" w:styleId="DarkList-Accent4">
    <w:name w:val="Dark List Accent 4"/>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FFFF9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CCCC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F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FF34" w:themeFill="accent4" w:themeFillShade="BF"/>
      </w:tcPr>
    </w:tblStylePr>
    <w:tblStylePr w:type="band1Vert">
      <w:tblPr/>
      <w:tcPr>
        <w:tcBorders>
          <w:top w:val="nil"/>
          <w:left w:val="nil"/>
          <w:bottom w:val="nil"/>
          <w:right w:val="nil"/>
          <w:insideH w:val="nil"/>
          <w:insideV w:val="nil"/>
        </w:tcBorders>
        <w:shd w:val="clear" w:color="auto" w:fill="FFFF34" w:themeFill="accent4" w:themeFillShade="BF"/>
      </w:tcPr>
    </w:tblStylePr>
    <w:tblStylePr w:type="band1Horz">
      <w:tblPr/>
      <w:tcPr>
        <w:tcBorders>
          <w:top w:val="nil"/>
          <w:left w:val="nil"/>
          <w:bottom w:val="nil"/>
          <w:right w:val="nil"/>
          <w:insideH w:val="nil"/>
          <w:insideV w:val="nil"/>
        </w:tcBorders>
        <w:shd w:val="clear" w:color="auto" w:fill="FFFF34" w:themeFill="accent4" w:themeFillShade="BF"/>
      </w:tcPr>
    </w:tblStylePr>
  </w:style>
  <w:style w:type="table" w:styleId="DarkList-Accent5">
    <w:name w:val="Dark List Accent 5"/>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E1E1E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70707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A8A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A8A8" w:themeFill="accent5" w:themeFillShade="BF"/>
      </w:tcPr>
    </w:tblStylePr>
    <w:tblStylePr w:type="band1Vert">
      <w:tblPr/>
      <w:tcPr>
        <w:tcBorders>
          <w:top w:val="nil"/>
          <w:left w:val="nil"/>
          <w:bottom w:val="nil"/>
          <w:right w:val="nil"/>
          <w:insideH w:val="nil"/>
          <w:insideV w:val="nil"/>
        </w:tcBorders>
        <w:shd w:val="clear" w:color="auto" w:fill="A8A8A8" w:themeFill="accent5" w:themeFillShade="BF"/>
      </w:tcPr>
    </w:tblStylePr>
    <w:tblStylePr w:type="band1Horz">
      <w:tblPr/>
      <w:tcPr>
        <w:tcBorders>
          <w:top w:val="nil"/>
          <w:left w:val="nil"/>
          <w:bottom w:val="nil"/>
          <w:right w:val="nil"/>
          <w:insideH w:val="nil"/>
          <w:insideV w:val="nil"/>
        </w:tcBorders>
        <w:shd w:val="clear" w:color="auto" w:fill="A8A8A8" w:themeFill="accent5" w:themeFillShade="BF"/>
      </w:tcPr>
    </w:tblStylePr>
  </w:style>
  <w:style w:type="table" w:styleId="DarkList-Accent6">
    <w:name w:val="Dark List Accent 6"/>
    <w:basedOn w:val="TableNormal"/>
    <w:uiPriority w:val="98"/>
    <w:semiHidden/>
    <w:unhideWhenUsed/>
    <w:rsid w:val="00A652AD"/>
    <w:pPr>
      <w:spacing w:after="0" w:line="240" w:lineRule="auto"/>
    </w:pPr>
    <w:rPr>
      <w:color w:val="FFFFFF" w:themeColor="background1"/>
    </w:rPr>
    <w:tblPr>
      <w:tblStyleRowBandSize w:val="1"/>
      <w:tblStyleColBandSize w:val="1"/>
    </w:tblPr>
    <w:tcPr>
      <w:shd w:val="clear" w:color="auto" w:fill="E5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D2030" w:themeFill="text1"/>
      </w:tcPr>
    </w:tblStylePr>
    <w:tblStylePr w:type="lastRow">
      <w:tblPr/>
      <w:tcPr>
        <w:tcBorders>
          <w:top w:val="single" w:sz="18" w:space="0" w:color="FFFFFF" w:themeColor="background1"/>
          <w:left w:val="nil"/>
          <w:bottom w:val="nil"/>
          <w:right w:val="nil"/>
          <w:insideH w:val="nil"/>
          <w:insideV w:val="nil"/>
        </w:tcBorders>
        <w:shd w:val="clear" w:color="auto" w:fill="00F1F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BFF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BFFFF" w:themeFill="accent6" w:themeFillShade="BF"/>
      </w:tcPr>
    </w:tblStylePr>
    <w:tblStylePr w:type="band1Vert">
      <w:tblPr/>
      <w:tcPr>
        <w:tcBorders>
          <w:top w:val="nil"/>
          <w:left w:val="nil"/>
          <w:bottom w:val="nil"/>
          <w:right w:val="nil"/>
          <w:insideH w:val="nil"/>
          <w:insideV w:val="nil"/>
        </w:tcBorders>
        <w:shd w:val="clear" w:color="auto" w:fill="6BFFFF" w:themeFill="accent6" w:themeFillShade="BF"/>
      </w:tcPr>
    </w:tblStylePr>
    <w:tblStylePr w:type="band1Horz">
      <w:tblPr/>
      <w:tcPr>
        <w:tcBorders>
          <w:top w:val="nil"/>
          <w:left w:val="nil"/>
          <w:bottom w:val="nil"/>
          <w:right w:val="nil"/>
          <w:insideH w:val="nil"/>
          <w:insideV w:val="nil"/>
        </w:tcBorders>
        <w:shd w:val="clear" w:color="auto" w:fill="6BFFFF" w:themeFill="accent6" w:themeFillShade="BF"/>
      </w:tcPr>
    </w:tblStylePr>
  </w:style>
  <w:style w:type="table" w:styleId="GridTable1Light">
    <w:name w:val="Grid Table 1 Light"/>
    <w:basedOn w:val="TableNormal"/>
    <w:uiPriority w:val="98"/>
    <w:semiHidden/>
    <w:rsid w:val="00A652AD"/>
    <w:pPr>
      <w:spacing w:after="0" w:line="240" w:lineRule="auto"/>
    </w:pPr>
    <w:tblPr>
      <w:tblStyleRowBandSize w:val="1"/>
      <w:tblStyleColBandSize w:val="1"/>
      <w:tblBorders>
        <w:top w:val="single" w:sz="4" w:space="0" w:color="9299BD" w:themeColor="text1" w:themeTint="66"/>
        <w:left w:val="single" w:sz="4" w:space="0" w:color="9299BD" w:themeColor="text1" w:themeTint="66"/>
        <w:bottom w:val="single" w:sz="4" w:space="0" w:color="9299BD" w:themeColor="text1" w:themeTint="66"/>
        <w:right w:val="single" w:sz="4" w:space="0" w:color="9299BD" w:themeColor="text1" w:themeTint="66"/>
        <w:insideH w:val="single" w:sz="4" w:space="0" w:color="9299BD" w:themeColor="text1" w:themeTint="66"/>
        <w:insideV w:val="single" w:sz="4" w:space="0" w:color="9299BD" w:themeColor="text1" w:themeTint="66"/>
      </w:tblBorders>
    </w:tblPr>
    <w:tblStylePr w:type="firstRow">
      <w:rPr>
        <w:b/>
        <w:bCs/>
      </w:rPr>
      <w:tblPr/>
      <w:tcPr>
        <w:tcBorders>
          <w:bottom w:val="single" w:sz="12" w:space="0" w:color="5E679B" w:themeColor="text1" w:themeTint="99"/>
        </w:tcBorders>
      </w:tcPr>
    </w:tblStylePr>
    <w:tblStylePr w:type="lastRow">
      <w:rPr>
        <w:b/>
        <w:bCs/>
      </w:rPr>
      <w:tblPr/>
      <w:tcPr>
        <w:tcBorders>
          <w:top w:val="double" w:sz="2" w:space="0" w:color="5E679B"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98"/>
    <w:semiHidden/>
    <w:rsid w:val="00A652AD"/>
    <w:pPr>
      <w:spacing w:after="0" w:line="240" w:lineRule="auto"/>
    </w:pPr>
    <w:tblPr>
      <w:tblStyleRowBandSize w:val="1"/>
      <w:tblStyleColBandSize w:val="1"/>
      <w:tblBorders>
        <w:top w:val="single" w:sz="4" w:space="0" w:color="776BFF" w:themeColor="accent1" w:themeTint="66"/>
        <w:left w:val="single" w:sz="4" w:space="0" w:color="776BFF" w:themeColor="accent1" w:themeTint="66"/>
        <w:bottom w:val="single" w:sz="4" w:space="0" w:color="776BFF" w:themeColor="accent1" w:themeTint="66"/>
        <w:right w:val="single" w:sz="4" w:space="0" w:color="776BFF" w:themeColor="accent1" w:themeTint="66"/>
        <w:insideH w:val="single" w:sz="4" w:space="0" w:color="776BFF" w:themeColor="accent1" w:themeTint="66"/>
        <w:insideV w:val="single" w:sz="4" w:space="0" w:color="776BFF" w:themeColor="accent1" w:themeTint="66"/>
      </w:tblBorders>
    </w:tblPr>
    <w:tblStylePr w:type="firstRow">
      <w:rPr>
        <w:b/>
        <w:bCs/>
      </w:rPr>
      <w:tblPr/>
      <w:tcPr>
        <w:tcBorders>
          <w:bottom w:val="single" w:sz="12" w:space="0" w:color="3422FF" w:themeColor="accent1" w:themeTint="99"/>
        </w:tcBorders>
      </w:tcPr>
    </w:tblStylePr>
    <w:tblStylePr w:type="lastRow">
      <w:rPr>
        <w:b/>
        <w:bCs/>
      </w:rPr>
      <w:tblPr/>
      <w:tcPr>
        <w:tcBorders>
          <w:top w:val="double" w:sz="2" w:space="0" w:color="342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98"/>
    <w:semiHidden/>
    <w:rsid w:val="00A652AD"/>
    <w:pPr>
      <w:spacing w:after="0" w:line="240" w:lineRule="auto"/>
    </w:pPr>
    <w:tblPr>
      <w:tblStyleRowBandSize w:val="1"/>
      <w:tblStyleColBandSize w:val="1"/>
      <w:tblBorders>
        <w:top w:val="single" w:sz="4" w:space="0" w:color="AAB1F0" w:themeColor="accent2" w:themeTint="66"/>
        <w:left w:val="single" w:sz="4" w:space="0" w:color="AAB1F0" w:themeColor="accent2" w:themeTint="66"/>
        <w:bottom w:val="single" w:sz="4" w:space="0" w:color="AAB1F0" w:themeColor="accent2" w:themeTint="66"/>
        <w:right w:val="single" w:sz="4" w:space="0" w:color="AAB1F0" w:themeColor="accent2" w:themeTint="66"/>
        <w:insideH w:val="single" w:sz="4" w:space="0" w:color="AAB1F0" w:themeColor="accent2" w:themeTint="66"/>
        <w:insideV w:val="single" w:sz="4" w:space="0" w:color="AAB1F0" w:themeColor="accent2" w:themeTint="66"/>
      </w:tblBorders>
    </w:tblPr>
    <w:tblStylePr w:type="firstRow">
      <w:rPr>
        <w:b/>
        <w:bCs/>
      </w:rPr>
      <w:tblPr/>
      <w:tcPr>
        <w:tcBorders>
          <w:bottom w:val="single" w:sz="12" w:space="0" w:color="7F8AE9" w:themeColor="accent2" w:themeTint="99"/>
        </w:tcBorders>
      </w:tcPr>
    </w:tblStylePr>
    <w:tblStylePr w:type="lastRow">
      <w:rPr>
        <w:b/>
        <w:bCs/>
      </w:rPr>
      <w:tblPr/>
      <w:tcPr>
        <w:tcBorders>
          <w:top w:val="double" w:sz="2" w:space="0" w:color="7F8AE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98"/>
    <w:semiHidden/>
    <w:rsid w:val="00A652AD"/>
    <w:pPr>
      <w:spacing w:after="0" w:line="240" w:lineRule="auto"/>
    </w:pPr>
    <w:tblPr>
      <w:tblStyleRowBandSize w:val="1"/>
      <w:tblStyleColBandSize w:val="1"/>
      <w:tblBorders>
        <w:top w:val="single" w:sz="4" w:space="0" w:color="E9F9D1" w:themeColor="accent3" w:themeTint="66"/>
        <w:left w:val="single" w:sz="4" w:space="0" w:color="E9F9D1" w:themeColor="accent3" w:themeTint="66"/>
        <w:bottom w:val="single" w:sz="4" w:space="0" w:color="E9F9D1" w:themeColor="accent3" w:themeTint="66"/>
        <w:right w:val="single" w:sz="4" w:space="0" w:color="E9F9D1" w:themeColor="accent3" w:themeTint="66"/>
        <w:insideH w:val="single" w:sz="4" w:space="0" w:color="E9F9D1" w:themeColor="accent3" w:themeTint="66"/>
        <w:insideV w:val="single" w:sz="4" w:space="0" w:color="E9F9D1" w:themeColor="accent3" w:themeTint="66"/>
      </w:tblBorders>
    </w:tblPr>
    <w:tblStylePr w:type="firstRow">
      <w:rPr>
        <w:b/>
        <w:bCs/>
      </w:rPr>
      <w:tblPr/>
      <w:tcPr>
        <w:tcBorders>
          <w:bottom w:val="single" w:sz="12" w:space="0" w:color="DEF6BB" w:themeColor="accent3" w:themeTint="99"/>
        </w:tcBorders>
      </w:tcPr>
    </w:tblStylePr>
    <w:tblStylePr w:type="lastRow">
      <w:rPr>
        <w:b/>
        <w:bCs/>
      </w:rPr>
      <w:tblPr/>
      <w:tcPr>
        <w:tcBorders>
          <w:top w:val="double" w:sz="2" w:space="0" w:color="DEF6B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98"/>
    <w:semiHidden/>
    <w:rsid w:val="00A652AD"/>
    <w:pPr>
      <w:spacing w:after="0" w:line="240" w:lineRule="auto"/>
    </w:pPr>
    <w:tblPr>
      <w:tblStyleRowBandSize w:val="1"/>
      <w:tblStyleColBandSize w:val="1"/>
      <w:tblBorders>
        <w:top w:val="single" w:sz="4" w:space="0" w:color="FFFFD7" w:themeColor="accent4" w:themeTint="66"/>
        <w:left w:val="single" w:sz="4" w:space="0" w:color="FFFFD7" w:themeColor="accent4" w:themeTint="66"/>
        <w:bottom w:val="single" w:sz="4" w:space="0" w:color="FFFFD7" w:themeColor="accent4" w:themeTint="66"/>
        <w:right w:val="single" w:sz="4" w:space="0" w:color="FFFFD7" w:themeColor="accent4" w:themeTint="66"/>
        <w:insideH w:val="single" w:sz="4" w:space="0" w:color="FFFFD7" w:themeColor="accent4" w:themeTint="66"/>
        <w:insideV w:val="single" w:sz="4" w:space="0" w:color="FFFFD7" w:themeColor="accent4" w:themeTint="66"/>
      </w:tblBorders>
    </w:tblPr>
    <w:tblStylePr w:type="firstRow">
      <w:rPr>
        <w:b/>
        <w:bCs/>
      </w:rPr>
      <w:tblPr/>
      <w:tcPr>
        <w:tcBorders>
          <w:bottom w:val="single" w:sz="12" w:space="0" w:color="FFFFC3" w:themeColor="accent4" w:themeTint="99"/>
        </w:tcBorders>
      </w:tcPr>
    </w:tblStylePr>
    <w:tblStylePr w:type="lastRow">
      <w:rPr>
        <w:b/>
        <w:bCs/>
      </w:rPr>
      <w:tblPr/>
      <w:tcPr>
        <w:tcBorders>
          <w:top w:val="double" w:sz="2" w:space="0" w:color="FFFFC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98"/>
    <w:semiHidden/>
    <w:rsid w:val="00A652AD"/>
    <w:pPr>
      <w:spacing w:after="0" w:line="240" w:lineRule="auto"/>
    </w:pPr>
    <w:tblPr>
      <w:tblStyleRowBandSize w:val="1"/>
      <w:tblStyleColBandSize w:val="1"/>
      <w:tblBorders>
        <w:top w:val="single" w:sz="4" w:space="0" w:color="F3F3F3" w:themeColor="accent5" w:themeTint="66"/>
        <w:left w:val="single" w:sz="4" w:space="0" w:color="F3F3F3" w:themeColor="accent5" w:themeTint="66"/>
        <w:bottom w:val="single" w:sz="4" w:space="0" w:color="F3F3F3" w:themeColor="accent5" w:themeTint="66"/>
        <w:right w:val="single" w:sz="4" w:space="0" w:color="F3F3F3" w:themeColor="accent5" w:themeTint="66"/>
        <w:insideH w:val="single" w:sz="4" w:space="0" w:color="F3F3F3" w:themeColor="accent5" w:themeTint="66"/>
        <w:insideV w:val="single" w:sz="4" w:space="0" w:color="F3F3F3" w:themeColor="accent5" w:themeTint="66"/>
      </w:tblBorders>
    </w:tblPr>
    <w:tblStylePr w:type="firstRow">
      <w:rPr>
        <w:b/>
        <w:bCs/>
      </w:rPr>
      <w:tblPr/>
      <w:tcPr>
        <w:tcBorders>
          <w:bottom w:val="single" w:sz="12" w:space="0" w:color="EDEDED" w:themeColor="accent5" w:themeTint="99"/>
        </w:tcBorders>
      </w:tcPr>
    </w:tblStylePr>
    <w:tblStylePr w:type="lastRow">
      <w:rPr>
        <w:b/>
        <w:bCs/>
      </w:rPr>
      <w:tblPr/>
      <w:tcPr>
        <w:tcBorders>
          <w:top w:val="double" w:sz="2" w:space="0" w:color="EDEDE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98"/>
    <w:semiHidden/>
    <w:rsid w:val="00A652AD"/>
    <w:pPr>
      <w:spacing w:after="0" w:line="240" w:lineRule="auto"/>
    </w:pPr>
    <w:tblPr>
      <w:tblStyleRowBandSize w:val="1"/>
      <w:tblStyleColBandSize w:val="1"/>
      <w:tblBorders>
        <w:top w:val="single" w:sz="4" w:space="0" w:color="F4FFFF" w:themeColor="accent6" w:themeTint="66"/>
        <w:left w:val="single" w:sz="4" w:space="0" w:color="F4FFFF" w:themeColor="accent6" w:themeTint="66"/>
        <w:bottom w:val="single" w:sz="4" w:space="0" w:color="F4FFFF" w:themeColor="accent6" w:themeTint="66"/>
        <w:right w:val="single" w:sz="4" w:space="0" w:color="F4FFFF" w:themeColor="accent6" w:themeTint="66"/>
        <w:insideH w:val="single" w:sz="4" w:space="0" w:color="F4FFFF" w:themeColor="accent6" w:themeTint="66"/>
        <w:insideV w:val="single" w:sz="4" w:space="0" w:color="F4FFFF" w:themeColor="accent6" w:themeTint="66"/>
      </w:tblBorders>
    </w:tblPr>
    <w:tblStylePr w:type="firstRow">
      <w:rPr>
        <w:b/>
        <w:bCs/>
      </w:rPr>
      <w:tblPr/>
      <w:tcPr>
        <w:tcBorders>
          <w:bottom w:val="single" w:sz="12" w:space="0" w:color="EFFFFF" w:themeColor="accent6" w:themeTint="99"/>
        </w:tcBorders>
      </w:tcPr>
    </w:tblStylePr>
    <w:tblStylePr w:type="lastRow">
      <w:rPr>
        <w:b/>
        <w:bCs/>
      </w:rPr>
      <w:tblPr/>
      <w:tcPr>
        <w:tcBorders>
          <w:top w:val="double" w:sz="2" w:space="0" w:color="EF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98"/>
    <w:semiHidden/>
    <w:rsid w:val="00A652AD"/>
    <w:pPr>
      <w:spacing w:after="0" w:line="240" w:lineRule="auto"/>
    </w:pPr>
    <w:tblPr>
      <w:tblStyleRowBandSize w:val="1"/>
      <w:tblStyleColBandSize w:val="1"/>
      <w:tblBorders>
        <w:top w:val="single" w:sz="2" w:space="0" w:color="5E679B" w:themeColor="text1" w:themeTint="99"/>
        <w:bottom w:val="single" w:sz="2" w:space="0" w:color="5E679B" w:themeColor="text1" w:themeTint="99"/>
        <w:insideH w:val="single" w:sz="2" w:space="0" w:color="5E679B" w:themeColor="text1" w:themeTint="99"/>
        <w:insideV w:val="single" w:sz="2" w:space="0" w:color="5E679B" w:themeColor="text1" w:themeTint="99"/>
      </w:tblBorders>
    </w:tblPr>
    <w:tblStylePr w:type="firstRow">
      <w:rPr>
        <w:b/>
        <w:bCs/>
      </w:rPr>
      <w:tblPr/>
      <w:tcPr>
        <w:tcBorders>
          <w:top w:val="nil"/>
          <w:bottom w:val="single" w:sz="12" w:space="0" w:color="5E679B" w:themeColor="text1" w:themeTint="99"/>
          <w:insideH w:val="nil"/>
          <w:insideV w:val="nil"/>
        </w:tcBorders>
        <w:shd w:val="clear" w:color="auto" w:fill="FFFFFF" w:themeFill="background1"/>
      </w:tcPr>
    </w:tblStylePr>
    <w:tblStylePr w:type="lastRow">
      <w:rPr>
        <w:b/>
        <w:bCs/>
      </w:rPr>
      <w:tblPr/>
      <w:tcPr>
        <w:tcBorders>
          <w:top w:val="double" w:sz="2" w:space="0" w:color="5E679B"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GridTable2-Accent1">
    <w:name w:val="Grid Table 2 Accent 1"/>
    <w:basedOn w:val="TableNormal"/>
    <w:uiPriority w:val="98"/>
    <w:semiHidden/>
    <w:rsid w:val="00A652AD"/>
    <w:pPr>
      <w:spacing w:after="0" w:line="240" w:lineRule="auto"/>
    </w:pPr>
    <w:tblPr>
      <w:tblStyleRowBandSize w:val="1"/>
      <w:tblStyleColBandSize w:val="1"/>
      <w:tblBorders>
        <w:top w:val="single" w:sz="2" w:space="0" w:color="3422FF" w:themeColor="accent1" w:themeTint="99"/>
        <w:bottom w:val="single" w:sz="2" w:space="0" w:color="3422FF" w:themeColor="accent1" w:themeTint="99"/>
        <w:insideH w:val="single" w:sz="2" w:space="0" w:color="3422FF" w:themeColor="accent1" w:themeTint="99"/>
        <w:insideV w:val="single" w:sz="2" w:space="0" w:color="3422FF" w:themeColor="accent1" w:themeTint="99"/>
      </w:tblBorders>
    </w:tblPr>
    <w:tblStylePr w:type="firstRow">
      <w:rPr>
        <w:b/>
        <w:bCs/>
      </w:rPr>
      <w:tblPr/>
      <w:tcPr>
        <w:tcBorders>
          <w:top w:val="nil"/>
          <w:bottom w:val="single" w:sz="12" w:space="0" w:color="3422FF" w:themeColor="accent1" w:themeTint="99"/>
          <w:insideH w:val="nil"/>
          <w:insideV w:val="nil"/>
        </w:tcBorders>
        <w:shd w:val="clear" w:color="auto" w:fill="FFFFFF" w:themeFill="background1"/>
      </w:tcPr>
    </w:tblStylePr>
    <w:tblStylePr w:type="lastRow">
      <w:rPr>
        <w:b/>
        <w:bCs/>
      </w:rPr>
      <w:tblPr/>
      <w:tcPr>
        <w:tcBorders>
          <w:top w:val="double" w:sz="2" w:space="0" w:color="342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GridTable2-Accent2">
    <w:name w:val="Grid Table 2 Accent 2"/>
    <w:basedOn w:val="TableNormal"/>
    <w:uiPriority w:val="98"/>
    <w:semiHidden/>
    <w:rsid w:val="00A652AD"/>
    <w:pPr>
      <w:spacing w:after="0" w:line="240" w:lineRule="auto"/>
    </w:pPr>
    <w:tblPr>
      <w:tblStyleRowBandSize w:val="1"/>
      <w:tblStyleColBandSize w:val="1"/>
      <w:tblBorders>
        <w:top w:val="single" w:sz="2" w:space="0" w:color="7F8AE9" w:themeColor="accent2" w:themeTint="99"/>
        <w:bottom w:val="single" w:sz="2" w:space="0" w:color="7F8AE9" w:themeColor="accent2" w:themeTint="99"/>
        <w:insideH w:val="single" w:sz="2" w:space="0" w:color="7F8AE9" w:themeColor="accent2" w:themeTint="99"/>
        <w:insideV w:val="single" w:sz="2" w:space="0" w:color="7F8AE9" w:themeColor="accent2" w:themeTint="99"/>
      </w:tblBorders>
    </w:tblPr>
    <w:tblStylePr w:type="firstRow">
      <w:rPr>
        <w:b/>
        <w:bCs/>
      </w:rPr>
      <w:tblPr/>
      <w:tcPr>
        <w:tcBorders>
          <w:top w:val="nil"/>
          <w:bottom w:val="single" w:sz="12" w:space="0" w:color="7F8AE9" w:themeColor="accent2" w:themeTint="99"/>
          <w:insideH w:val="nil"/>
          <w:insideV w:val="nil"/>
        </w:tcBorders>
        <w:shd w:val="clear" w:color="auto" w:fill="FFFFFF" w:themeFill="background1"/>
      </w:tcPr>
    </w:tblStylePr>
    <w:tblStylePr w:type="lastRow">
      <w:rPr>
        <w:b/>
        <w:bCs/>
      </w:rPr>
      <w:tblPr/>
      <w:tcPr>
        <w:tcBorders>
          <w:top w:val="double" w:sz="2" w:space="0" w:color="7F8AE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GridTable2-Accent3">
    <w:name w:val="Grid Table 2 Accent 3"/>
    <w:basedOn w:val="TableNormal"/>
    <w:uiPriority w:val="98"/>
    <w:semiHidden/>
    <w:rsid w:val="00A652AD"/>
    <w:pPr>
      <w:spacing w:after="0" w:line="240" w:lineRule="auto"/>
    </w:pPr>
    <w:tblPr>
      <w:tblStyleRowBandSize w:val="1"/>
      <w:tblStyleColBandSize w:val="1"/>
      <w:tblBorders>
        <w:top w:val="single" w:sz="2" w:space="0" w:color="DEF6BB" w:themeColor="accent3" w:themeTint="99"/>
        <w:bottom w:val="single" w:sz="2" w:space="0" w:color="DEF6BB" w:themeColor="accent3" w:themeTint="99"/>
        <w:insideH w:val="single" w:sz="2" w:space="0" w:color="DEF6BB" w:themeColor="accent3" w:themeTint="99"/>
        <w:insideV w:val="single" w:sz="2" w:space="0" w:color="DEF6BB" w:themeColor="accent3" w:themeTint="99"/>
      </w:tblBorders>
    </w:tblPr>
    <w:tblStylePr w:type="firstRow">
      <w:rPr>
        <w:b/>
        <w:bCs/>
      </w:rPr>
      <w:tblPr/>
      <w:tcPr>
        <w:tcBorders>
          <w:top w:val="nil"/>
          <w:bottom w:val="single" w:sz="12" w:space="0" w:color="DEF6BB" w:themeColor="accent3" w:themeTint="99"/>
          <w:insideH w:val="nil"/>
          <w:insideV w:val="nil"/>
        </w:tcBorders>
        <w:shd w:val="clear" w:color="auto" w:fill="FFFFFF" w:themeFill="background1"/>
      </w:tcPr>
    </w:tblStylePr>
    <w:tblStylePr w:type="lastRow">
      <w:rPr>
        <w:b/>
        <w:bCs/>
      </w:rPr>
      <w:tblPr/>
      <w:tcPr>
        <w:tcBorders>
          <w:top w:val="double" w:sz="2" w:space="0" w:color="DEF6B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GridTable2-Accent4">
    <w:name w:val="Grid Table 2 Accent 4"/>
    <w:basedOn w:val="TableNormal"/>
    <w:uiPriority w:val="98"/>
    <w:semiHidden/>
    <w:rsid w:val="00A652AD"/>
    <w:pPr>
      <w:spacing w:after="0" w:line="240" w:lineRule="auto"/>
    </w:pPr>
    <w:tblPr>
      <w:tblStyleRowBandSize w:val="1"/>
      <w:tblStyleColBandSize w:val="1"/>
      <w:tblBorders>
        <w:top w:val="single" w:sz="2" w:space="0" w:color="FFFFC3" w:themeColor="accent4" w:themeTint="99"/>
        <w:bottom w:val="single" w:sz="2" w:space="0" w:color="FFFFC3" w:themeColor="accent4" w:themeTint="99"/>
        <w:insideH w:val="single" w:sz="2" w:space="0" w:color="FFFFC3" w:themeColor="accent4" w:themeTint="99"/>
        <w:insideV w:val="single" w:sz="2" w:space="0" w:color="FFFFC3" w:themeColor="accent4" w:themeTint="99"/>
      </w:tblBorders>
    </w:tblPr>
    <w:tblStylePr w:type="firstRow">
      <w:rPr>
        <w:b/>
        <w:bCs/>
      </w:rPr>
      <w:tblPr/>
      <w:tcPr>
        <w:tcBorders>
          <w:top w:val="nil"/>
          <w:bottom w:val="single" w:sz="12" w:space="0" w:color="FFFFC3" w:themeColor="accent4" w:themeTint="99"/>
          <w:insideH w:val="nil"/>
          <w:insideV w:val="nil"/>
        </w:tcBorders>
        <w:shd w:val="clear" w:color="auto" w:fill="FFFFFF" w:themeFill="background1"/>
      </w:tcPr>
    </w:tblStylePr>
    <w:tblStylePr w:type="lastRow">
      <w:rPr>
        <w:b/>
        <w:bCs/>
      </w:rPr>
      <w:tblPr/>
      <w:tcPr>
        <w:tcBorders>
          <w:top w:val="double" w:sz="2" w:space="0" w:color="FFFF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GridTable2-Accent5">
    <w:name w:val="Grid Table 2 Accent 5"/>
    <w:basedOn w:val="TableNormal"/>
    <w:uiPriority w:val="98"/>
    <w:semiHidden/>
    <w:rsid w:val="00A652AD"/>
    <w:pPr>
      <w:spacing w:after="0" w:line="240" w:lineRule="auto"/>
    </w:pPr>
    <w:tblPr>
      <w:tblStyleRowBandSize w:val="1"/>
      <w:tblStyleColBandSize w:val="1"/>
      <w:tblBorders>
        <w:top w:val="single" w:sz="2" w:space="0" w:color="EDEDED" w:themeColor="accent5" w:themeTint="99"/>
        <w:bottom w:val="single" w:sz="2" w:space="0" w:color="EDEDED" w:themeColor="accent5" w:themeTint="99"/>
        <w:insideH w:val="single" w:sz="2" w:space="0" w:color="EDEDED" w:themeColor="accent5" w:themeTint="99"/>
        <w:insideV w:val="single" w:sz="2" w:space="0" w:color="EDEDED" w:themeColor="accent5" w:themeTint="99"/>
      </w:tblBorders>
    </w:tblPr>
    <w:tblStylePr w:type="firstRow">
      <w:rPr>
        <w:b/>
        <w:bCs/>
      </w:rPr>
      <w:tblPr/>
      <w:tcPr>
        <w:tcBorders>
          <w:top w:val="nil"/>
          <w:bottom w:val="single" w:sz="12" w:space="0" w:color="EDEDED" w:themeColor="accent5" w:themeTint="99"/>
          <w:insideH w:val="nil"/>
          <w:insideV w:val="nil"/>
        </w:tcBorders>
        <w:shd w:val="clear" w:color="auto" w:fill="FFFFFF" w:themeFill="background1"/>
      </w:tcPr>
    </w:tblStylePr>
    <w:tblStylePr w:type="lastRow">
      <w:rPr>
        <w:b/>
        <w:bCs/>
      </w:rPr>
      <w:tblPr/>
      <w:tcPr>
        <w:tcBorders>
          <w:top w:val="double" w:sz="2" w:space="0" w:color="EDEDE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2-Accent6">
    <w:name w:val="Grid Table 2 Accent 6"/>
    <w:basedOn w:val="TableNormal"/>
    <w:uiPriority w:val="98"/>
    <w:semiHidden/>
    <w:rsid w:val="00A652AD"/>
    <w:pPr>
      <w:spacing w:after="0" w:line="240" w:lineRule="auto"/>
    </w:pPr>
    <w:tblPr>
      <w:tblStyleRowBandSize w:val="1"/>
      <w:tblStyleColBandSize w:val="1"/>
      <w:tblBorders>
        <w:top w:val="single" w:sz="2" w:space="0" w:color="EFFFFF" w:themeColor="accent6" w:themeTint="99"/>
        <w:bottom w:val="single" w:sz="2" w:space="0" w:color="EFFFFF" w:themeColor="accent6" w:themeTint="99"/>
        <w:insideH w:val="single" w:sz="2" w:space="0" w:color="EFFFFF" w:themeColor="accent6" w:themeTint="99"/>
        <w:insideV w:val="single" w:sz="2" w:space="0" w:color="EFFFFF" w:themeColor="accent6" w:themeTint="99"/>
      </w:tblBorders>
    </w:tblPr>
    <w:tblStylePr w:type="firstRow">
      <w:rPr>
        <w:b/>
        <w:bCs/>
      </w:rPr>
      <w:tblPr/>
      <w:tcPr>
        <w:tcBorders>
          <w:top w:val="nil"/>
          <w:bottom w:val="single" w:sz="12" w:space="0" w:color="EFFFFF" w:themeColor="accent6" w:themeTint="99"/>
          <w:insideH w:val="nil"/>
          <w:insideV w:val="nil"/>
        </w:tcBorders>
        <w:shd w:val="clear" w:color="auto" w:fill="FFFFFF" w:themeFill="background1"/>
      </w:tcPr>
    </w:tblStylePr>
    <w:tblStylePr w:type="lastRow">
      <w:rPr>
        <w:b/>
        <w:bCs/>
      </w:rPr>
      <w:tblPr/>
      <w:tcPr>
        <w:tcBorders>
          <w:top w:val="double" w:sz="2" w:space="0" w:color="E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GridTable3">
    <w:name w:val="Grid Table 3"/>
    <w:basedOn w:val="TableNormal"/>
    <w:uiPriority w:val="98"/>
    <w:semiHidden/>
    <w:rsid w:val="00A652AD"/>
    <w:pPr>
      <w:spacing w:after="0" w:line="240" w:lineRule="auto"/>
    </w:pPr>
    <w:tblPr>
      <w:tblStyleRowBandSize w:val="1"/>
      <w:tblStyleColBandSize w:val="1"/>
      <w:tblBorders>
        <w:top w:val="single" w:sz="4" w:space="0" w:color="5E679B" w:themeColor="text1" w:themeTint="99"/>
        <w:left w:val="single" w:sz="4" w:space="0" w:color="5E679B" w:themeColor="text1" w:themeTint="99"/>
        <w:bottom w:val="single" w:sz="4" w:space="0" w:color="5E679B" w:themeColor="text1" w:themeTint="99"/>
        <w:right w:val="single" w:sz="4" w:space="0" w:color="5E679B" w:themeColor="text1" w:themeTint="99"/>
        <w:insideH w:val="single" w:sz="4" w:space="0" w:color="5E679B" w:themeColor="text1" w:themeTint="99"/>
        <w:insideV w:val="single" w:sz="4" w:space="0" w:color="5E679B"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CCDE" w:themeFill="text1" w:themeFillTint="33"/>
      </w:tcPr>
    </w:tblStylePr>
    <w:tblStylePr w:type="band1Horz">
      <w:tblPr/>
      <w:tcPr>
        <w:shd w:val="clear" w:color="auto" w:fill="C8CCDE" w:themeFill="text1" w:themeFillTint="33"/>
      </w:tcPr>
    </w:tblStylePr>
    <w:tblStylePr w:type="neCell">
      <w:tblPr/>
      <w:tcPr>
        <w:tcBorders>
          <w:bottom w:val="single" w:sz="4" w:space="0" w:color="5E679B" w:themeColor="text1" w:themeTint="99"/>
        </w:tcBorders>
      </w:tcPr>
    </w:tblStylePr>
    <w:tblStylePr w:type="nwCell">
      <w:tblPr/>
      <w:tcPr>
        <w:tcBorders>
          <w:bottom w:val="single" w:sz="4" w:space="0" w:color="5E679B" w:themeColor="text1" w:themeTint="99"/>
        </w:tcBorders>
      </w:tcPr>
    </w:tblStylePr>
    <w:tblStylePr w:type="seCell">
      <w:tblPr/>
      <w:tcPr>
        <w:tcBorders>
          <w:top w:val="single" w:sz="4" w:space="0" w:color="5E679B" w:themeColor="text1" w:themeTint="99"/>
        </w:tcBorders>
      </w:tcPr>
    </w:tblStylePr>
    <w:tblStylePr w:type="swCell">
      <w:tblPr/>
      <w:tcPr>
        <w:tcBorders>
          <w:top w:val="single" w:sz="4" w:space="0" w:color="5E679B" w:themeColor="text1" w:themeTint="99"/>
        </w:tcBorders>
      </w:tcPr>
    </w:tblStylePr>
  </w:style>
  <w:style w:type="table" w:styleId="GridTable3-Accent1">
    <w:name w:val="Grid Table 3 Accent 1"/>
    <w:basedOn w:val="TableNormal"/>
    <w:uiPriority w:val="98"/>
    <w:semiHidden/>
    <w:rsid w:val="00A652AD"/>
    <w:pPr>
      <w:spacing w:after="0" w:line="240" w:lineRule="auto"/>
    </w:pPr>
    <w:tblPr>
      <w:tblStyleRowBandSize w:val="1"/>
      <w:tblStyleColBandSize w:val="1"/>
      <w:tblBorders>
        <w:top w:val="single" w:sz="4" w:space="0" w:color="3422FF" w:themeColor="accent1" w:themeTint="99"/>
        <w:left w:val="single" w:sz="4" w:space="0" w:color="3422FF" w:themeColor="accent1" w:themeTint="99"/>
        <w:bottom w:val="single" w:sz="4" w:space="0" w:color="3422FF" w:themeColor="accent1" w:themeTint="99"/>
        <w:right w:val="single" w:sz="4" w:space="0" w:color="3422FF" w:themeColor="accent1" w:themeTint="99"/>
        <w:insideH w:val="single" w:sz="4" w:space="0" w:color="3422FF" w:themeColor="accent1" w:themeTint="99"/>
        <w:insideV w:val="single" w:sz="4" w:space="0" w:color="342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B5FF" w:themeFill="accent1" w:themeFillTint="33"/>
      </w:tcPr>
    </w:tblStylePr>
    <w:tblStylePr w:type="band1Horz">
      <w:tblPr/>
      <w:tcPr>
        <w:shd w:val="clear" w:color="auto" w:fill="BBB5FF" w:themeFill="accent1" w:themeFillTint="33"/>
      </w:tcPr>
    </w:tblStylePr>
    <w:tblStylePr w:type="neCell">
      <w:tblPr/>
      <w:tcPr>
        <w:tcBorders>
          <w:bottom w:val="single" w:sz="4" w:space="0" w:color="3422FF" w:themeColor="accent1" w:themeTint="99"/>
        </w:tcBorders>
      </w:tcPr>
    </w:tblStylePr>
    <w:tblStylePr w:type="nwCell">
      <w:tblPr/>
      <w:tcPr>
        <w:tcBorders>
          <w:bottom w:val="single" w:sz="4" w:space="0" w:color="3422FF" w:themeColor="accent1" w:themeTint="99"/>
        </w:tcBorders>
      </w:tcPr>
    </w:tblStylePr>
    <w:tblStylePr w:type="seCell">
      <w:tblPr/>
      <w:tcPr>
        <w:tcBorders>
          <w:top w:val="single" w:sz="4" w:space="0" w:color="3422FF" w:themeColor="accent1" w:themeTint="99"/>
        </w:tcBorders>
      </w:tcPr>
    </w:tblStylePr>
    <w:tblStylePr w:type="swCell">
      <w:tblPr/>
      <w:tcPr>
        <w:tcBorders>
          <w:top w:val="single" w:sz="4" w:space="0" w:color="3422FF" w:themeColor="accent1" w:themeTint="99"/>
        </w:tcBorders>
      </w:tcPr>
    </w:tblStylePr>
  </w:style>
  <w:style w:type="table" w:styleId="GridTable3-Accent2">
    <w:name w:val="Grid Table 3 Accent 2"/>
    <w:basedOn w:val="TableNormal"/>
    <w:uiPriority w:val="98"/>
    <w:semiHidden/>
    <w:rsid w:val="00A652AD"/>
    <w:pPr>
      <w:spacing w:after="0" w:line="240" w:lineRule="auto"/>
    </w:pPr>
    <w:tblPr>
      <w:tblStyleRowBandSize w:val="1"/>
      <w:tblStyleColBandSize w:val="1"/>
      <w:tblBorders>
        <w:top w:val="single" w:sz="4" w:space="0" w:color="7F8AE9" w:themeColor="accent2" w:themeTint="99"/>
        <w:left w:val="single" w:sz="4" w:space="0" w:color="7F8AE9" w:themeColor="accent2" w:themeTint="99"/>
        <w:bottom w:val="single" w:sz="4" w:space="0" w:color="7F8AE9" w:themeColor="accent2" w:themeTint="99"/>
        <w:right w:val="single" w:sz="4" w:space="0" w:color="7F8AE9" w:themeColor="accent2" w:themeTint="99"/>
        <w:insideH w:val="single" w:sz="4" w:space="0" w:color="7F8AE9" w:themeColor="accent2" w:themeTint="99"/>
        <w:insideV w:val="single" w:sz="4" w:space="0" w:color="7F8AE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8F7" w:themeFill="accent2" w:themeFillTint="33"/>
      </w:tcPr>
    </w:tblStylePr>
    <w:tblStylePr w:type="band1Horz">
      <w:tblPr/>
      <w:tcPr>
        <w:shd w:val="clear" w:color="auto" w:fill="D4D8F7" w:themeFill="accent2" w:themeFillTint="33"/>
      </w:tcPr>
    </w:tblStylePr>
    <w:tblStylePr w:type="neCell">
      <w:tblPr/>
      <w:tcPr>
        <w:tcBorders>
          <w:bottom w:val="single" w:sz="4" w:space="0" w:color="7F8AE9" w:themeColor="accent2" w:themeTint="99"/>
        </w:tcBorders>
      </w:tcPr>
    </w:tblStylePr>
    <w:tblStylePr w:type="nwCell">
      <w:tblPr/>
      <w:tcPr>
        <w:tcBorders>
          <w:bottom w:val="single" w:sz="4" w:space="0" w:color="7F8AE9" w:themeColor="accent2" w:themeTint="99"/>
        </w:tcBorders>
      </w:tcPr>
    </w:tblStylePr>
    <w:tblStylePr w:type="seCell">
      <w:tblPr/>
      <w:tcPr>
        <w:tcBorders>
          <w:top w:val="single" w:sz="4" w:space="0" w:color="7F8AE9" w:themeColor="accent2" w:themeTint="99"/>
        </w:tcBorders>
      </w:tcPr>
    </w:tblStylePr>
    <w:tblStylePr w:type="swCell">
      <w:tblPr/>
      <w:tcPr>
        <w:tcBorders>
          <w:top w:val="single" w:sz="4" w:space="0" w:color="7F8AE9" w:themeColor="accent2" w:themeTint="99"/>
        </w:tcBorders>
      </w:tcPr>
    </w:tblStylePr>
  </w:style>
  <w:style w:type="table" w:styleId="GridTable3-Accent3">
    <w:name w:val="Grid Table 3 Accent 3"/>
    <w:basedOn w:val="TableNormal"/>
    <w:uiPriority w:val="98"/>
    <w:semiHidden/>
    <w:rsid w:val="00A652AD"/>
    <w:pPr>
      <w:spacing w:after="0" w:line="240" w:lineRule="auto"/>
    </w:pPr>
    <w:tblPr>
      <w:tblStyleRowBandSize w:val="1"/>
      <w:tblStyleColBandSize w:val="1"/>
      <w:tblBorders>
        <w:top w:val="single" w:sz="4" w:space="0" w:color="DEF6BB" w:themeColor="accent3" w:themeTint="99"/>
        <w:left w:val="single" w:sz="4" w:space="0" w:color="DEF6BB" w:themeColor="accent3" w:themeTint="99"/>
        <w:bottom w:val="single" w:sz="4" w:space="0" w:color="DEF6BB" w:themeColor="accent3" w:themeTint="99"/>
        <w:right w:val="single" w:sz="4" w:space="0" w:color="DEF6BB" w:themeColor="accent3" w:themeTint="99"/>
        <w:insideH w:val="single" w:sz="4" w:space="0" w:color="DEF6BB" w:themeColor="accent3" w:themeTint="99"/>
        <w:insideV w:val="single" w:sz="4" w:space="0" w:color="DEF6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CE8" w:themeFill="accent3" w:themeFillTint="33"/>
      </w:tcPr>
    </w:tblStylePr>
    <w:tblStylePr w:type="band1Horz">
      <w:tblPr/>
      <w:tcPr>
        <w:shd w:val="clear" w:color="auto" w:fill="F4FCE8" w:themeFill="accent3" w:themeFillTint="33"/>
      </w:tcPr>
    </w:tblStylePr>
    <w:tblStylePr w:type="neCell">
      <w:tblPr/>
      <w:tcPr>
        <w:tcBorders>
          <w:bottom w:val="single" w:sz="4" w:space="0" w:color="DEF6BB" w:themeColor="accent3" w:themeTint="99"/>
        </w:tcBorders>
      </w:tcPr>
    </w:tblStylePr>
    <w:tblStylePr w:type="nwCell">
      <w:tblPr/>
      <w:tcPr>
        <w:tcBorders>
          <w:bottom w:val="single" w:sz="4" w:space="0" w:color="DEF6BB" w:themeColor="accent3" w:themeTint="99"/>
        </w:tcBorders>
      </w:tcPr>
    </w:tblStylePr>
    <w:tblStylePr w:type="seCell">
      <w:tblPr/>
      <w:tcPr>
        <w:tcBorders>
          <w:top w:val="single" w:sz="4" w:space="0" w:color="DEF6BB" w:themeColor="accent3" w:themeTint="99"/>
        </w:tcBorders>
      </w:tcPr>
    </w:tblStylePr>
    <w:tblStylePr w:type="swCell">
      <w:tblPr/>
      <w:tcPr>
        <w:tcBorders>
          <w:top w:val="single" w:sz="4" w:space="0" w:color="DEF6BB" w:themeColor="accent3" w:themeTint="99"/>
        </w:tcBorders>
      </w:tcPr>
    </w:tblStylePr>
  </w:style>
  <w:style w:type="table" w:styleId="GridTable3-Accent4">
    <w:name w:val="Grid Table 3 Accent 4"/>
    <w:basedOn w:val="TableNormal"/>
    <w:uiPriority w:val="98"/>
    <w:semiHidden/>
    <w:rsid w:val="00A652AD"/>
    <w:pPr>
      <w:spacing w:after="0" w:line="240" w:lineRule="auto"/>
    </w:pPr>
    <w:tblPr>
      <w:tblStyleRowBandSize w:val="1"/>
      <w:tblStyleColBandSize w:val="1"/>
      <w:tblBorders>
        <w:top w:val="single" w:sz="4" w:space="0" w:color="FFFFC3" w:themeColor="accent4" w:themeTint="99"/>
        <w:left w:val="single" w:sz="4" w:space="0" w:color="FFFFC3" w:themeColor="accent4" w:themeTint="99"/>
        <w:bottom w:val="single" w:sz="4" w:space="0" w:color="FFFFC3" w:themeColor="accent4" w:themeTint="99"/>
        <w:right w:val="single" w:sz="4" w:space="0" w:color="FFFFC3" w:themeColor="accent4" w:themeTint="99"/>
        <w:insideH w:val="single" w:sz="4" w:space="0" w:color="FFFFC3" w:themeColor="accent4" w:themeTint="99"/>
        <w:insideV w:val="single" w:sz="4" w:space="0" w:color="FFFF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EB" w:themeFill="accent4" w:themeFillTint="33"/>
      </w:tcPr>
    </w:tblStylePr>
    <w:tblStylePr w:type="band1Horz">
      <w:tblPr/>
      <w:tcPr>
        <w:shd w:val="clear" w:color="auto" w:fill="FFFFEB" w:themeFill="accent4" w:themeFillTint="33"/>
      </w:tcPr>
    </w:tblStylePr>
    <w:tblStylePr w:type="neCell">
      <w:tblPr/>
      <w:tcPr>
        <w:tcBorders>
          <w:bottom w:val="single" w:sz="4" w:space="0" w:color="FFFFC3" w:themeColor="accent4" w:themeTint="99"/>
        </w:tcBorders>
      </w:tcPr>
    </w:tblStylePr>
    <w:tblStylePr w:type="nwCell">
      <w:tblPr/>
      <w:tcPr>
        <w:tcBorders>
          <w:bottom w:val="single" w:sz="4" w:space="0" w:color="FFFFC3" w:themeColor="accent4" w:themeTint="99"/>
        </w:tcBorders>
      </w:tcPr>
    </w:tblStylePr>
    <w:tblStylePr w:type="seCell">
      <w:tblPr/>
      <w:tcPr>
        <w:tcBorders>
          <w:top w:val="single" w:sz="4" w:space="0" w:color="FFFFC3" w:themeColor="accent4" w:themeTint="99"/>
        </w:tcBorders>
      </w:tcPr>
    </w:tblStylePr>
    <w:tblStylePr w:type="swCell">
      <w:tblPr/>
      <w:tcPr>
        <w:tcBorders>
          <w:top w:val="single" w:sz="4" w:space="0" w:color="FFFFC3" w:themeColor="accent4" w:themeTint="99"/>
        </w:tcBorders>
      </w:tcPr>
    </w:tblStylePr>
  </w:style>
  <w:style w:type="table" w:styleId="GridTable3-Accent5">
    <w:name w:val="Grid Table 3 Accent 5"/>
    <w:basedOn w:val="TableNormal"/>
    <w:uiPriority w:val="98"/>
    <w:semiHidden/>
    <w:rsid w:val="00A652AD"/>
    <w:pPr>
      <w:spacing w:after="0"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bottom w:val="single" w:sz="4" w:space="0" w:color="EDEDED" w:themeColor="accent5" w:themeTint="99"/>
        </w:tcBorders>
      </w:tcPr>
    </w:tblStylePr>
    <w:tblStylePr w:type="nwCell">
      <w:tblPr/>
      <w:tcPr>
        <w:tcBorders>
          <w:bottom w:val="single" w:sz="4" w:space="0" w:color="EDEDED" w:themeColor="accent5" w:themeTint="99"/>
        </w:tcBorders>
      </w:tcPr>
    </w:tblStylePr>
    <w:tblStylePr w:type="seCell">
      <w:tblPr/>
      <w:tcPr>
        <w:tcBorders>
          <w:top w:val="single" w:sz="4" w:space="0" w:color="EDEDED" w:themeColor="accent5" w:themeTint="99"/>
        </w:tcBorders>
      </w:tcPr>
    </w:tblStylePr>
    <w:tblStylePr w:type="swCell">
      <w:tblPr/>
      <w:tcPr>
        <w:tcBorders>
          <w:top w:val="single" w:sz="4" w:space="0" w:color="EDEDED" w:themeColor="accent5" w:themeTint="99"/>
        </w:tcBorders>
      </w:tcPr>
    </w:tblStylePr>
  </w:style>
  <w:style w:type="table" w:styleId="GridTable3-Accent6">
    <w:name w:val="Grid Table 3 Accent 6"/>
    <w:basedOn w:val="TableNormal"/>
    <w:uiPriority w:val="98"/>
    <w:semiHidden/>
    <w:rsid w:val="00A652AD"/>
    <w:pPr>
      <w:spacing w:after="0" w:line="240" w:lineRule="auto"/>
    </w:pPr>
    <w:tblPr>
      <w:tblStyleRowBandSize w:val="1"/>
      <w:tblStyleColBandSize w:val="1"/>
      <w:tblBorders>
        <w:top w:val="single" w:sz="4" w:space="0" w:color="EFFFFF" w:themeColor="accent6" w:themeTint="99"/>
        <w:left w:val="single" w:sz="4" w:space="0" w:color="EFFFFF" w:themeColor="accent6" w:themeTint="99"/>
        <w:bottom w:val="single" w:sz="4" w:space="0" w:color="EFFFFF" w:themeColor="accent6" w:themeTint="99"/>
        <w:right w:val="single" w:sz="4" w:space="0" w:color="EFFFFF" w:themeColor="accent6" w:themeTint="99"/>
        <w:insideH w:val="single" w:sz="4" w:space="0" w:color="EFFFFF" w:themeColor="accent6" w:themeTint="99"/>
        <w:insideV w:val="single" w:sz="4" w:space="0" w:color="E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FFF" w:themeFill="accent6" w:themeFillTint="33"/>
      </w:tcPr>
    </w:tblStylePr>
    <w:tblStylePr w:type="band1Horz">
      <w:tblPr/>
      <w:tcPr>
        <w:shd w:val="clear" w:color="auto" w:fill="F9FFFF" w:themeFill="accent6" w:themeFillTint="33"/>
      </w:tcPr>
    </w:tblStylePr>
    <w:tblStylePr w:type="neCell">
      <w:tblPr/>
      <w:tcPr>
        <w:tcBorders>
          <w:bottom w:val="single" w:sz="4" w:space="0" w:color="EFFFFF" w:themeColor="accent6" w:themeTint="99"/>
        </w:tcBorders>
      </w:tcPr>
    </w:tblStylePr>
    <w:tblStylePr w:type="nwCell">
      <w:tblPr/>
      <w:tcPr>
        <w:tcBorders>
          <w:bottom w:val="single" w:sz="4" w:space="0" w:color="EFFFFF" w:themeColor="accent6" w:themeTint="99"/>
        </w:tcBorders>
      </w:tcPr>
    </w:tblStylePr>
    <w:tblStylePr w:type="seCell">
      <w:tblPr/>
      <w:tcPr>
        <w:tcBorders>
          <w:top w:val="single" w:sz="4" w:space="0" w:color="EFFFFF" w:themeColor="accent6" w:themeTint="99"/>
        </w:tcBorders>
      </w:tcPr>
    </w:tblStylePr>
    <w:tblStylePr w:type="swCell">
      <w:tblPr/>
      <w:tcPr>
        <w:tcBorders>
          <w:top w:val="single" w:sz="4" w:space="0" w:color="EFFFFF" w:themeColor="accent6" w:themeTint="99"/>
        </w:tcBorders>
      </w:tcPr>
    </w:tblStylePr>
  </w:style>
  <w:style w:type="table" w:styleId="GridTable4">
    <w:name w:val="Grid Table 4"/>
    <w:basedOn w:val="TableNormal"/>
    <w:uiPriority w:val="98"/>
    <w:semiHidden/>
    <w:rsid w:val="00A652AD"/>
    <w:pPr>
      <w:spacing w:after="0" w:line="240" w:lineRule="auto"/>
    </w:pPr>
    <w:tblPr>
      <w:tblStyleRowBandSize w:val="1"/>
      <w:tblStyleColBandSize w:val="1"/>
      <w:tblBorders>
        <w:top w:val="single" w:sz="4" w:space="0" w:color="5E679B" w:themeColor="text1" w:themeTint="99"/>
        <w:left w:val="single" w:sz="4" w:space="0" w:color="5E679B" w:themeColor="text1" w:themeTint="99"/>
        <w:bottom w:val="single" w:sz="4" w:space="0" w:color="5E679B" w:themeColor="text1" w:themeTint="99"/>
        <w:right w:val="single" w:sz="4" w:space="0" w:color="5E679B" w:themeColor="text1" w:themeTint="99"/>
        <w:insideH w:val="single" w:sz="4" w:space="0" w:color="5E679B" w:themeColor="text1" w:themeTint="99"/>
        <w:insideV w:val="single" w:sz="4" w:space="0" w:color="5E679B" w:themeColor="text1" w:themeTint="99"/>
      </w:tblBorders>
    </w:tblPr>
    <w:tblStylePr w:type="firstRow">
      <w:rPr>
        <w:b/>
        <w:bCs/>
        <w:color w:val="FFFFFF" w:themeColor="background1"/>
      </w:rPr>
      <w:tblPr/>
      <w:tcPr>
        <w:tcBorders>
          <w:top w:val="single" w:sz="4" w:space="0" w:color="1D2030" w:themeColor="text1"/>
          <w:left w:val="single" w:sz="4" w:space="0" w:color="1D2030" w:themeColor="text1"/>
          <w:bottom w:val="single" w:sz="4" w:space="0" w:color="1D2030" w:themeColor="text1"/>
          <w:right w:val="single" w:sz="4" w:space="0" w:color="1D2030" w:themeColor="text1"/>
          <w:insideH w:val="nil"/>
          <w:insideV w:val="nil"/>
        </w:tcBorders>
        <w:shd w:val="clear" w:color="auto" w:fill="1D2030" w:themeFill="text1"/>
      </w:tcPr>
    </w:tblStylePr>
    <w:tblStylePr w:type="lastRow">
      <w:rPr>
        <w:b/>
        <w:bCs/>
      </w:rPr>
      <w:tblPr/>
      <w:tcPr>
        <w:tcBorders>
          <w:top w:val="double" w:sz="4" w:space="0" w:color="1D2030" w:themeColor="text1"/>
        </w:tcBorders>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GridTable4-Accent1">
    <w:name w:val="Grid Table 4 Accent 1"/>
    <w:basedOn w:val="TableNormal"/>
    <w:uiPriority w:val="98"/>
    <w:semiHidden/>
    <w:rsid w:val="00A652AD"/>
    <w:pPr>
      <w:spacing w:after="0" w:line="240" w:lineRule="auto"/>
    </w:pPr>
    <w:tblPr>
      <w:tblStyleRowBandSize w:val="1"/>
      <w:tblStyleColBandSize w:val="1"/>
      <w:tblBorders>
        <w:top w:val="single" w:sz="4" w:space="0" w:color="3422FF" w:themeColor="accent1" w:themeTint="99"/>
        <w:left w:val="single" w:sz="4" w:space="0" w:color="3422FF" w:themeColor="accent1" w:themeTint="99"/>
        <w:bottom w:val="single" w:sz="4" w:space="0" w:color="3422FF" w:themeColor="accent1" w:themeTint="99"/>
        <w:right w:val="single" w:sz="4" w:space="0" w:color="3422FF" w:themeColor="accent1" w:themeTint="99"/>
        <w:insideH w:val="single" w:sz="4" w:space="0" w:color="3422FF" w:themeColor="accent1" w:themeTint="99"/>
        <w:insideV w:val="single" w:sz="4" w:space="0" w:color="3422FF" w:themeColor="accent1" w:themeTint="99"/>
      </w:tblBorders>
    </w:tblPr>
    <w:tblStylePr w:type="firstRow">
      <w:rPr>
        <w:b/>
        <w:bCs/>
        <w:color w:val="FFFFFF" w:themeColor="background1"/>
      </w:rPr>
      <w:tblPr/>
      <w:tcPr>
        <w:tcBorders>
          <w:top w:val="single" w:sz="4" w:space="0" w:color="0C008E" w:themeColor="accent1"/>
          <w:left w:val="single" w:sz="4" w:space="0" w:color="0C008E" w:themeColor="accent1"/>
          <w:bottom w:val="single" w:sz="4" w:space="0" w:color="0C008E" w:themeColor="accent1"/>
          <w:right w:val="single" w:sz="4" w:space="0" w:color="0C008E" w:themeColor="accent1"/>
          <w:insideH w:val="nil"/>
          <w:insideV w:val="nil"/>
        </w:tcBorders>
        <w:shd w:val="clear" w:color="auto" w:fill="0C008E" w:themeFill="accent1"/>
      </w:tcPr>
    </w:tblStylePr>
    <w:tblStylePr w:type="lastRow">
      <w:rPr>
        <w:b/>
        <w:bCs/>
      </w:rPr>
      <w:tblPr/>
      <w:tcPr>
        <w:tcBorders>
          <w:top w:val="double" w:sz="4" w:space="0" w:color="0C008E" w:themeColor="accent1"/>
        </w:tcBorders>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GridTable4-Accent2">
    <w:name w:val="Grid Table 4 Accent 2"/>
    <w:basedOn w:val="TableNormal"/>
    <w:uiPriority w:val="98"/>
    <w:semiHidden/>
    <w:rsid w:val="00A652AD"/>
    <w:pPr>
      <w:spacing w:after="0" w:line="240" w:lineRule="auto"/>
    </w:pPr>
    <w:tblPr>
      <w:tblStyleRowBandSize w:val="1"/>
      <w:tblStyleColBandSize w:val="1"/>
      <w:tblBorders>
        <w:top w:val="single" w:sz="4" w:space="0" w:color="7F8AE9" w:themeColor="accent2" w:themeTint="99"/>
        <w:left w:val="single" w:sz="4" w:space="0" w:color="7F8AE9" w:themeColor="accent2" w:themeTint="99"/>
        <w:bottom w:val="single" w:sz="4" w:space="0" w:color="7F8AE9" w:themeColor="accent2" w:themeTint="99"/>
        <w:right w:val="single" w:sz="4" w:space="0" w:color="7F8AE9" w:themeColor="accent2" w:themeTint="99"/>
        <w:insideH w:val="single" w:sz="4" w:space="0" w:color="7F8AE9" w:themeColor="accent2" w:themeTint="99"/>
        <w:insideV w:val="single" w:sz="4" w:space="0" w:color="7F8AE9" w:themeColor="accent2" w:themeTint="99"/>
      </w:tblBorders>
    </w:tblPr>
    <w:tblStylePr w:type="firstRow">
      <w:rPr>
        <w:b/>
        <w:bCs/>
        <w:color w:val="FFFFFF" w:themeColor="background1"/>
      </w:rPr>
      <w:tblPr/>
      <w:tcPr>
        <w:tcBorders>
          <w:top w:val="single" w:sz="4" w:space="0" w:color="2B3DDB" w:themeColor="accent2"/>
          <w:left w:val="single" w:sz="4" w:space="0" w:color="2B3DDB" w:themeColor="accent2"/>
          <w:bottom w:val="single" w:sz="4" w:space="0" w:color="2B3DDB" w:themeColor="accent2"/>
          <w:right w:val="single" w:sz="4" w:space="0" w:color="2B3DDB" w:themeColor="accent2"/>
          <w:insideH w:val="nil"/>
          <w:insideV w:val="nil"/>
        </w:tcBorders>
        <w:shd w:val="clear" w:color="auto" w:fill="2B3DDB" w:themeFill="accent2"/>
      </w:tcPr>
    </w:tblStylePr>
    <w:tblStylePr w:type="lastRow">
      <w:rPr>
        <w:b/>
        <w:bCs/>
      </w:rPr>
      <w:tblPr/>
      <w:tcPr>
        <w:tcBorders>
          <w:top w:val="double" w:sz="4" w:space="0" w:color="2B3DDB" w:themeColor="accent2"/>
        </w:tcBorders>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GridTable4-Accent3">
    <w:name w:val="Grid Table 4 Accent 3"/>
    <w:basedOn w:val="TableNormal"/>
    <w:uiPriority w:val="98"/>
    <w:semiHidden/>
    <w:rsid w:val="00A652AD"/>
    <w:pPr>
      <w:spacing w:after="0" w:line="240" w:lineRule="auto"/>
    </w:pPr>
    <w:tblPr>
      <w:tblStyleRowBandSize w:val="1"/>
      <w:tblStyleColBandSize w:val="1"/>
      <w:tblBorders>
        <w:top w:val="single" w:sz="4" w:space="0" w:color="DEF6BB" w:themeColor="accent3" w:themeTint="99"/>
        <w:left w:val="single" w:sz="4" w:space="0" w:color="DEF6BB" w:themeColor="accent3" w:themeTint="99"/>
        <w:bottom w:val="single" w:sz="4" w:space="0" w:color="DEF6BB" w:themeColor="accent3" w:themeTint="99"/>
        <w:right w:val="single" w:sz="4" w:space="0" w:color="DEF6BB" w:themeColor="accent3" w:themeTint="99"/>
        <w:insideH w:val="single" w:sz="4" w:space="0" w:color="DEF6BB" w:themeColor="accent3" w:themeTint="99"/>
        <w:insideV w:val="single" w:sz="4" w:space="0" w:color="DEF6BB" w:themeColor="accent3" w:themeTint="99"/>
      </w:tblBorders>
    </w:tblPr>
    <w:tblStylePr w:type="firstRow">
      <w:rPr>
        <w:b/>
        <w:bCs/>
        <w:color w:val="FFFFFF" w:themeColor="background1"/>
      </w:rPr>
      <w:tblPr/>
      <w:tcPr>
        <w:tcBorders>
          <w:top w:val="single" w:sz="4" w:space="0" w:color="C9F08E" w:themeColor="accent3"/>
          <w:left w:val="single" w:sz="4" w:space="0" w:color="C9F08E" w:themeColor="accent3"/>
          <w:bottom w:val="single" w:sz="4" w:space="0" w:color="C9F08E" w:themeColor="accent3"/>
          <w:right w:val="single" w:sz="4" w:space="0" w:color="C9F08E" w:themeColor="accent3"/>
          <w:insideH w:val="nil"/>
          <w:insideV w:val="nil"/>
        </w:tcBorders>
        <w:shd w:val="clear" w:color="auto" w:fill="C9F08E" w:themeFill="accent3"/>
      </w:tcPr>
    </w:tblStylePr>
    <w:tblStylePr w:type="lastRow">
      <w:rPr>
        <w:b/>
        <w:bCs/>
      </w:rPr>
      <w:tblPr/>
      <w:tcPr>
        <w:tcBorders>
          <w:top w:val="double" w:sz="4" w:space="0" w:color="C9F08E" w:themeColor="accent3"/>
        </w:tcBorders>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GridTable4-Accent4">
    <w:name w:val="Grid Table 4 Accent 4"/>
    <w:basedOn w:val="TableNormal"/>
    <w:uiPriority w:val="98"/>
    <w:semiHidden/>
    <w:rsid w:val="00A652AD"/>
    <w:pPr>
      <w:spacing w:after="0" w:line="240" w:lineRule="auto"/>
    </w:pPr>
    <w:tblPr>
      <w:tblStyleRowBandSize w:val="1"/>
      <w:tblStyleColBandSize w:val="1"/>
      <w:tblBorders>
        <w:top w:val="single" w:sz="4" w:space="0" w:color="FFFFC3" w:themeColor="accent4" w:themeTint="99"/>
        <w:left w:val="single" w:sz="4" w:space="0" w:color="FFFFC3" w:themeColor="accent4" w:themeTint="99"/>
        <w:bottom w:val="single" w:sz="4" w:space="0" w:color="FFFFC3" w:themeColor="accent4" w:themeTint="99"/>
        <w:right w:val="single" w:sz="4" w:space="0" w:color="FFFFC3" w:themeColor="accent4" w:themeTint="99"/>
        <w:insideH w:val="single" w:sz="4" w:space="0" w:color="FFFFC3" w:themeColor="accent4" w:themeTint="99"/>
        <w:insideV w:val="single" w:sz="4" w:space="0" w:color="FFFFC3" w:themeColor="accent4" w:themeTint="99"/>
      </w:tblBorders>
    </w:tblPr>
    <w:tblStylePr w:type="firstRow">
      <w:rPr>
        <w:b/>
        <w:bCs/>
        <w:color w:val="FFFFFF" w:themeColor="background1"/>
      </w:rPr>
      <w:tblPr/>
      <w:tcPr>
        <w:tcBorders>
          <w:top w:val="single" w:sz="4" w:space="0" w:color="FFFF9C" w:themeColor="accent4"/>
          <w:left w:val="single" w:sz="4" w:space="0" w:color="FFFF9C" w:themeColor="accent4"/>
          <w:bottom w:val="single" w:sz="4" w:space="0" w:color="FFFF9C" w:themeColor="accent4"/>
          <w:right w:val="single" w:sz="4" w:space="0" w:color="FFFF9C" w:themeColor="accent4"/>
          <w:insideH w:val="nil"/>
          <w:insideV w:val="nil"/>
        </w:tcBorders>
        <w:shd w:val="clear" w:color="auto" w:fill="FFFF9C" w:themeFill="accent4"/>
      </w:tcPr>
    </w:tblStylePr>
    <w:tblStylePr w:type="lastRow">
      <w:rPr>
        <w:b/>
        <w:bCs/>
      </w:rPr>
      <w:tblPr/>
      <w:tcPr>
        <w:tcBorders>
          <w:top w:val="double" w:sz="4" w:space="0" w:color="FFFF9C" w:themeColor="accent4"/>
        </w:tcBorders>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GridTable4-Accent5">
    <w:name w:val="Grid Table 4 Accent 5"/>
    <w:basedOn w:val="TableNormal"/>
    <w:uiPriority w:val="98"/>
    <w:semiHidden/>
    <w:rsid w:val="00A652AD"/>
    <w:pPr>
      <w:spacing w:after="0"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color w:val="FFFFFF" w:themeColor="background1"/>
      </w:rPr>
      <w:tblPr/>
      <w:tcPr>
        <w:tcBorders>
          <w:top w:val="single" w:sz="4" w:space="0" w:color="E1E1E1" w:themeColor="accent5"/>
          <w:left w:val="single" w:sz="4" w:space="0" w:color="E1E1E1" w:themeColor="accent5"/>
          <w:bottom w:val="single" w:sz="4" w:space="0" w:color="E1E1E1" w:themeColor="accent5"/>
          <w:right w:val="single" w:sz="4" w:space="0" w:color="E1E1E1" w:themeColor="accent5"/>
          <w:insideH w:val="nil"/>
          <w:insideV w:val="nil"/>
        </w:tcBorders>
        <w:shd w:val="clear" w:color="auto" w:fill="E1E1E1" w:themeFill="accent5"/>
      </w:tcPr>
    </w:tblStylePr>
    <w:tblStylePr w:type="lastRow">
      <w:rPr>
        <w:b/>
        <w:bCs/>
      </w:rPr>
      <w:tblPr/>
      <w:tcPr>
        <w:tcBorders>
          <w:top w:val="double" w:sz="4" w:space="0" w:color="E1E1E1" w:themeColor="accent5"/>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4-Accent6">
    <w:name w:val="Grid Table 4 Accent 6"/>
    <w:basedOn w:val="TableNormal"/>
    <w:uiPriority w:val="98"/>
    <w:semiHidden/>
    <w:rsid w:val="00A652AD"/>
    <w:pPr>
      <w:spacing w:after="0" w:line="240" w:lineRule="auto"/>
    </w:pPr>
    <w:tblPr>
      <w:tblStyleRowBandSize w:val="1"/>
      <w:tblStyleColBandSize w:val="1"/>
      <w:tblBorders>
        <w:top w:val="single" w:sz="4" w:space="0" w:color="EFFFFF" w:themeColor="accent6" w:themeTint="99"/>
        <w:left w:val="single" w:sz="4" w:space="0" w:color="EFFFFF" w:themeColor="accent6" w:themeTint="99"/>
        <w:bottom w:val="single" w:sz="4" w:space="0" w:color="EFFFFF" w:themeColor="accent6" w:themeTint="99"/>
        <w:right w:val="single" w:sz="4" w:space="0" w:color="EFFFFF" w:themeColor="accent6" w:themeTint="99"/>
        <w:insideH w:val="single" w:sz="4" w:space="0" w:color="EFFFFF" w:themeColor="accent6" w:themeTint="99"/>
        <w:insideV w:val="single" w:sz="4" w:space="0" w:color="EFFFFF" w:themeColor="accent6" w:themeTint="99"/>
      </w:tblBorders>
    </w:tblPr>
    <w:tblStylePr w:type="firstRow">
      <w:rPr>
        <w:b/>
        <w:bCs/>
        <w:color w:val="FFFFFF" w:themeColor="background1"/>
      </w:rPr>
      <w:tblPr/>
      <w:tcPr>
        <w:tcBorders>
          <w:top w:val="single" w:sz="4" w:space="0" w:color="E5FFFF" w:themeColor="accent6"/>
          <w:left w:val="single" w:sz="4" w:space="0" w:color="E5FFFF" w:themeColor="accent6"/>
          <w:bottom w:val="single" w:sz="4" w:space="0" w:color="E5FFFF" w:themeColor="accent6"/>
          <w:right w:val="single" w:sz="4" w:space="0" w:color="E5FFFF" w:themeColor="accent6"/>
          <w:insideH w:val="nil"/>
          <w:insideV w:val="nil"/>
        </w:tcBorders>
        <w:shd w:val="clear" w:color="auto" w:fill="E5FFFF" w:themeFill="accent6"/>
      </w:tcPr>
    </w:tblStylePr>
    <w:tblStylePr w:type="lastRow">
      <w:rPr>
        <w:b/>
        <w:bCs/>
      </w:rPr>
      <w:tblPr/>
      <w:tcPr>
        <w:tcBorders>
          <w:top w:val="double" w:sz="4" w:space="0" w:color="E5FFFF" w:themeColor="accent6"/>
        </w:tcBorders>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GridTable5Dark">
    <w:name w:val="Grid Table 5 Dark"/>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CCD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203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203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203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2030" w:themeFill="text1"/>
      </w:tcPr>
    </w:tblStylePr>
    <w:tblStylePr w:type="band1Vert">
      <w:tblPr/>
      <w:tcPr>
        <w:shd w:val="clear" w:color="auto" w:fill="9299BD" w:themeFill="text1" w:themeFillTint="66"/>
      </w:tcPr>
    </w:tblStylePr>
    <w:tblStylePr w:type="band1Horz">
      <w:tblPr/>
      <w:tcPr>
        <w:shd w:val="clear" w:color="auto" w:fill="9299BD" w:themeFill="text1" w:themeFillTint="66"/>
      </w:tcPr>
    </w:tblStylePr>
  </w:style>
  <w:style w:type="table" w:styleId="GridTable5Dark-Accent1">
    <w:name w:val="Grid Table 5 Dark Accent 1"/>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B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C008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C008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C008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C008E" w:themeFill="accent1"/>
      </w:tcPr>
    </w:tblStylePr>
    <w:tblStylePr w:type="band1Vert">
      <w:tblPr/>
      <w:tcPr>
        <w:shd w:val="clear" w:color="auto" w:fill="776BFF" w:themeFill="accent1" w:themeFillTint="66"/>
      </w:tcPr>
    </w:tblStylePr>
    <w:tblStylePr w:type="band1Horz">
      <w:tblPr/>
      <w:tcPr>
        <w:shd w:val="clear" w:color="auto" w:fill="776BFF" w:themeFill="accent1" w:themeFillTint="66"/>
      </w:tcPr>
    </w:tblStylePr>
  </w:style>
  <w:style w:type="table" w:styleId="GridTable5Dark-Accent2">
    <w:name w:val="Grid Table 5 Dark Accent 2"/>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DD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DD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DD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DDB" w:themeFill="accent2"/>
      </w:tcPr>
    </w:tblStylePr>
    <w:tblStylePr w:type="band1Vert">
      <w:tblPr/>
      <w:tcPr>
        <w:shd w:val="clear" w:color="auto" w:fill="AAB1F0" w:themeFill="accent2" w:themeFillTint="66"/>
      </w:tcPr>
    </w:tblStylePr>
    <w:tblStylePr w:type="band1Horz">
      <w:tblPr/>
      <w:tcPr>
        <w:shd w:val="clear" w:color="auto" w:fill="AAB1F0" w:themeFill="accent2" w:themeFillTint="66"/>
      </w:tcPr>
    </w:tblStylePr>
  </w:style>
  <w:style w:type="table" w:styleId="GridTable5Dark-Accent3">
    <w:name w:val="Grid Table 5 Dark Accent 3"/>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CE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9F0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9F0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9F0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9F08E" w:themeFill="accent3"/>
      </w:tcPr>
    </w:tblStylePr>
    <w:tblStylePr w:type="band1Vert">
      <w:tblPr/>
      <w:tcPr>
        <w:shd w:val="clear" w:color="auto" w:fill="E9F9D1" w:themeFill="accent3" w:themeFillTint="66"/>
      </w:tcPr>
    </w:tblStylePr>
    <w:tblStylePr w:type="band1Horz">
      <w:tblPr/>
      <w:tcPr>
        <w:shd w:val="clear" w:color="auto" w:fill="E9F9D1" w:themeFill="accent3" w:themeFillTint="66"/>
      </w:tcPr>
    </w:tblStylePr>
  </w:style>
  <w:style w:type="table" w:styleId="GridTable5Dark-Accent4">
    <w:name w:val="Grid Table 5 Dark Accent 4"/>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E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9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9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9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9C" w:themeFill="accent4"/>
      </w:tcPr>
    </w:tblStylePr>
    <w:tblStylePr w:type="band1Vert">
      <w:tblPr/>
      <w:tcPr>
        <w:shd w:val="clear" w:color="auto" w:fill="FFFFD7" w:themeFill="accent4" w:themeFillTint="66"/>
      </w:tcPr>
    </w:tblStylePr>
    <w:tblStylePr w:type="band1Horz">
      <w:tblPr/>
      <w:tcPr>
        <w:shd w:val="clear" w:color="auto" w:fill="FFFFD7" w:themeFill="accent4" w:themeFillTint="66"/>
      </w:tcPr>
    </w:tblStylePr>
  </w:style>
  <w:style w:type="table" w:styleId="GridTable5Dark-Accent5">
    <w:name w:val="Grid Table 5 Dark Accent 5"/>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E1E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E1E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E1E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E1E1" w:themeFill="accent5"/>
      </w:tcPr>
    </w:tblStylePr>
    <w:tblStylePr w:type="band1Vert">
      <w:tblPr/>
      <w:tcPr>
        <w:shd w:val="clear" w:color="auto" w:fill="F3F3F3" w:themeFill="accent5" w:themeFillTint="66"/>
      </w:tcPr>
    </w:tblStylePr>
    <w:tblStylePr w:type="band1Horz">
      <w:tblPr/>
      <w:tcPr>
        <w:shd w:val="clear" w:color="auto" w:fill="F3F3F3" w:themeFill="accent5" w:themeFillTint="66"/>
      </w:tcPr>
    </w:tblStylePr>
  </w:style>
  <w:style w:type="table" w:styleId="GridTable5Dark-Accent6">
    <w:name w:val="Grid Table 5 Dark Accent 6"/>
    <w:basedOn w:val="TableNormal"/>
    <w:uiPriority w:val="98"/>
    <w:semiHidden/>
    <w:rsid w:val="00A652A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FFFF" w:themeFill="accent6"/>
      </w:tcPr>
    </w:tblStylePr>
    <w:tblStylePr w:type="band1Vert">
      <w:tblPr/>
      <w:tcPr>
        <w:shd w:val="clear" w:color="auto" w:fill="F4FFFF" w:themeFill="accent6" w:themeFillTint="66"/>
      </w:tcPr>
    </w:tblStylePr>
    <w:tblStylePr w:type="band1Horz">
      <w:tblPr/>
      <w:tcPr>
        <w:shd w:val="clear" w:color="auto" w:fill="F4FFFF" w:themeFill="accent6" w:themeFillTint="66"/>
      </w:tcPr>
    </w:tblStylePr>
  </w:style>
  <w:style w:type="table" w:styleId="GridTable6Colorful">
    <w:name w:val="Grid Table 6 Colorful"/>
    <w:basedOn w:val="TableNormal"/>
    <w:uiPriority w:val="98"/>
    <w:semiHidden/>
    <w:rsid w:val="00A652AD"/>
    <w:pPr>
      <w:spacing w:after="0" w:line="240" w:lineRule="auto"/>
    </w:pPr>
    <w:rPr>
      <w:color w:val="1D2030" w:themeColor="text1"/>
    </w:rPr>
    <w:tblPr>
      <w:tblStyleRowBandSize w:val="1"/>
      <w:tblStyleColBandSize w:val="1"/>
      <w:tblBorders>
        <w:top w:val="single" w:sz="4" w:space="0" w:color="5E679B" w:themeColor="text1" w:themeTint="99"/>
        <w:left w:val="single" w:sz="4" w:space="0" w:color="5E679B" w:themeColor="text1" w:themeTint="99"/>
        <w:bottom w:val="single" w:sz="4" w:space="0" w:color="5E679B" w:themeColor="text1" w:themeTint="99"/>
        <w:right w:val="single" w:sz="4" w:space="0" w:color="5E679B" w:themeColor="text1" w:themeTint="99"/>
        <w:insideH w:val="single" w:sz="4" w:space="0" w:color="5E679B" w:themeColor="text1" w:themeTint="99"/>
        <w:insideV w:val="single" w:sz="4" w:space="0" w:color="5E679B" w:themeColor="text1" w:themeTint="99"/>
      </w:tblBorders>
    </w:tblPr>
    <w:tblStylePr w:type="firstRow">
      <w:rPr>
        <w:b/>
        <w:bCs/>
      </w:rPr>
      <w:tblPr/>
      <w:tcPr>
        <w:tcBorders>
          <w:bottom w:val="single" w:sz="12" w:space="0" w:color="5E679B" w:themeColor="text1" w:themeTint="99"/>
        </w:tcBorders>
      </w:tcPr>
    </w:tblStylePr>
    <w:tblStylePr w:type="lastRow">
      <w:rPr>
        <w:b/>
        <w:bCs/>
      </w:rPr>
      <w:tblPr/>
      <w:tcPr>
        <w:tcBorders>
          <w:top w:val="double" w:sz="4" w:space="0" w:color="5E679B" w:themeColor="text1" w:themeTint="99"/>
        </w:tcBorders>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GridTable6Colorful-Accent1">
    <w:name w:val="Grid Table 6 Colorful Accent 1"/>
    <w:basedOn w:val="TableNormal"/>
    <w:uiPriority w:val="98"/>
    <w:semiHidden/>
    <w:rsid w:val="00A652AD"/>
    <w:pPr>
      <w:spacing w:after="0" w:line="240" w:lineRule="auto"/>
    </w:pPr>
    <w:rPr>
      <w:color w:val="08006A" w:themeColor="accent1" w:themeShade="BF"/>
    </w:rPr>
    <w:tblPr>
      <w:tblStyleRowBandSize w:val="1"/>
      <w:tblStyleColBandSize w:val="1"/>
      <w:tblBorders>
        <w:top w:val="single" w:sz="4" w:space="0" w:color="3422FF" w:themeColor="accent1" w:themeTint="99"/>
        <w:left w:val="single" w:sz="4" w:space="0" w:color="3422FF" w:themeColor="accent1" w:themeTint="99"/>
        <w:bottom w:val="single" w:sz="4" w:space="0" w:color="3422FF" w:themeColor="accent1" w:themeTint="99"/>
        <w:right w:val="single" w:sz="4" w:space="0" w:color="3422FF" w:themeColor="accent1" w:themeTint="99"/>
        <w:insideH w:val="single" w:sz="4" w:space="0" w:color="3422FF" w:themeColor="accent1" w:themeTint="99"/>
        <w:insideV w:val="single" w:sz="4" w:space="0" w:color="3422FF" w:themeColor="accent1" w:themeTint="99"/>
      </w:tblBorders>
    </w:tblPr>
    <w:tblStylePr w:type="firstRow">
      <w:rPr>
        <w:b/>
        <w:bCs/>
      </w:rPr>
      <w:tblPr/>
      <w:tcPr>
        <w:tcBorders>
          <w:bottom w:val="single" w:sz="12" w:space="0" w:color="3422FF" w:themeColor="accent1" w:themeTint="99"/>
        </w:tcBorders>
      </w:tcPr>
    </w:tblStylePr>
    <w:tblStylePr w:type="lastRow">
      <w:rPr>
        <w:b/>
        <w:bCs/>
      </w:rPr>
      <w:tblPr/>
      <w:tcPr>
        <w:tcBorders>
          <w:top w:val="double" w:sz="4" w:space="0" w:color="3422FF" w:themeColor="accent1" w:themeTint="99"/>
        </w:tcBorders>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GridTable6Colorful-Accent2">
    <w:name w:val="Grid Table 6 Colorful Accent 2"/>
    <w:basedOn w:val="TableNormal"/>
    <w:uiPriority w:val="98"/>
    <w:semiHidden/>
    <w:rsid w:val="00A652AD"/>
    <w:pPr>
      <w:spacing w:after="0" w:line="240" w:lineRule="auto"/>
    </w:pPr>
    <w:rPr>
      <w:color w:val="1C2AA7" w:themeColor="accent2" w:themeShade="BF"/>
    </w:rPr>
    <w:tblPr>
      <w:tblStyleRowBandSize w:val="1"/>
      <w:tblStyleColBandSize w:val="1"/>
      <w:tblBorders>
        <w:top w:val="single" w:sz="4" w:space="0" w:color="7F8AE9" w:themeColor="accent2" w:themeTint="99"/>
        <w:left w:val="single" w:sz="4" w:space="0" w:color="7F8AE9" w:themeColor="accent2" w:themeTint="99"/>
        <w:bottom w:val="single" w:sz="4" w:space="0" w:color="7F8AE9" w:themeColor="accent2" w:themeTint="99"/>
        <w:right w:val="single" w:sz="4" w:space="0" w:color="7F8AE9" w:themeColor="accent2" w:themeTint="99"/>
        <w:insideH w:val="single" w:sz="4" w:space="0" w:color="7F8AE9" w:themeColor="accent2" w:themeTint="99"/>
        <w:insideV w:val="single" w:sz="4" w:space="0" w:color="7F8AE9" w:themeColor="accent2" w:themeTint="99"/>
      </w:tblBorders>
    </w:tblPr>
    <w:tblStylePr w:type="firstRow">
      <w:rPr>
        <w:b/>
        <w:bCs/>
      </w:rPr>
      <w:tblPr/>
      <w:tcPr>
        <w:tcBorders>
          <w:bottom w:val="single" w:sz="12" w:space="0" w:color="7F8AE9" w:themeColor="accent2" w:themeTint="99"/>
        </w:tcBorders>
      </w:tcPr>
    </w:tblStylePr>
    <w:tblStylePr w:type="lastRow">
      <w:rPr>
        <w:b/>
        <w:bCs/>
      </w:rPr>
      <w:tblPr/>
      <w:tcPr>
        <w:tcBorders>
          <w:top w:val="double" w:sz="4" w:space="0" w:color="7F8AE9" w:themeColor="accent2" w:themeTint="99"/>
        </w:tcBorders>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GridTable6Colorful-Accent3">
    <w:name w:val="Grid Table 6 Colorful Accent 3"/>
    <w:basedOn w:val="TableNormal"/>
    <w:uiPriority w:val="98"/>
    <w:semiHidden/>
    <w:rsid w:val="00A652AD"/>
    <w:pPr>
      <w:spacing w:after="0" w:line="240" w:lineRule="auto"/>
    </w:pPr>
    <w:rPr>
      <w:color w:val="A0E439" w:themeColor="accent3" w:themeShade="BF"/>
    </w:rPr>
    <w:tblPr>
      <w:tblStyleRowBandSize w:val="1"/>
      <w:tblStyleColBandSize w:val="1"/>
      <w:tblBorders>
        <w:top w:val="single" w:sz="4" w:space="0" w:color="DEF6BB" w:themeColor="accent3" w:themeTint="99"/>
        <w:left w:val="single" w:sz="4" w:space="0" w:color="DEF6BB" w:themeColor="accent3" w:themeTint="99"/>
        <w:bottom w:val="single" w:sz="4" w:space="0" w:color="DEF6BB" w:themeColor="accent3" w:themeTint="99"/>
        <w:right w:val="single" w:sz="4" w:space="0" w:color="DEF6BB" w:themeColor="accent3" w:themeTint="99"/>
        <w:insideH w:val="single" w:sz="4" w:space="0" w:color="DEF6BB" w:themeColor="accent3" w:themeTint="99"/>
        <w:insideV w:val="single" w:sz="4" w:space="0" w:color="DEF6BB" w:themeColor="accent3" w:themeTint="99"/>
      </w:tblBorders>
    </w:tblPr>
    <w:tblStylePr w:type="firstRow">
      <w:rPr>
        <w:b/>
        <w:bCs/>
      </w:rPr>
      <w:tblPr/>
      <w:tcPr>
        <w:tcBorders>
          <w:bottom w:val="single" w:sz="12" w:space="0" w:color="DEF6BB" w:themeColor="accent3" w:themeTint="99"/>
        </w:tcBorders>
      </w:tcPr>
    </w:tblStylePr>
    <w:tblStylePr w:type="lastRow">
      <w:rPr>
        <w:b/>
        <w:bCs/>
      </w:rPr>
      <w:tblPr/>
      <w:tcPr>
        <w:tcBorders>
          <w:top w:val="double" w:sz="4" w:space="0" w:color="DEF6BB" w:themeColor="accent3" w:themeTint="99"/>
        </w:tcBorders>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GridTable6Colorful-Accent4">
    <w:name w:val="Grid Table 6 Colorful Accent 4"/>
    <w:basedOn w:val="TableNormal"/>
    <w:uiPriority w:val="98"/>
    <w:semiHidden/>
    <w:rsid w:val="00A652AD"/>
    <w:pPr>
      <w:spacing w:after="0" w:line="240" w:lineRule="auto"/>
    </w:pPr>
    <w:rPr>
      <w:color w:val="FFFF34" w:themeColor="accent4" w:themeShade="BF"/>
    </w:rPr>
    <w:tblPr>
      <w:tblStyleRowBandSize w:val="1"/>
      <w:tblStyleColBandSize w:val="1"/>
      <w:tblBorders>
        <w:top w:val="single" w:sz="4" w:space="0" w:color="FFFFC3" w:themeColor="accent4" w:themeTint="99"/>
        <w:left w:val="single" w:sz="4" w:space="0" w:color="FFFFC3" w:themeColor="accent4" w:themeTint="99"/>
        <w:bottom w:val="single" w:sz="4" w:space="0" w:color="FFFFC3" w:themeColor="accent4" w:themeTint="99"/>
        <w:right w:val="single" w:sz="4" w:space="0" w:color="FFFFC3" w:themeColor="accent4" w:themeTint="99"/>
        <w:insideH w:val="single" w:sz="4" w:space="0" w:color="FFFFC3" w:themeColor="accent4" w:themeTint="99"/>
        <w:insideV w:val="single" w:sz="4" w:space="0" w:color="FFFFC3" w:themeColor="accent4" w:themeTint="99"/>
      </w:tblBorders>
    </w:tblPr>
    <w:tblStylePr w:type="firstRow">
      <w:rPr>
        <w:b/>
        <w:bCs/>
      </w:rPr>
      <w:tblPr/>
      <w:tcPr>
        <w:tcBorders>
          <w:bottom w:val="single" w:sz="12" w:space="0" w:color="FFFFC3" w:themeColor="accent4" w:themeTint="99"/>
        </w:tcBorders>
      </w:tcPr>
    </w:tblStylePr>
    <w:tblStylePr w:type="lastRow">
      <w:rPr>
        <w:b/>
        <w:bCs/>
      </w:rPr>
      <w:tblPr/>
      <w:tcPr>
        <w:tcBorders>
          <w:top w:val="double" w:sz="4" w:space="0" w:color="FFFFC3" w:themeColor="accent4" w:themeTint="99"/>
        </w:tcBorders>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GridTable6Colorful-Accent5">
    <w:name w:val="Grid Table 6 Colorful Accent 5"/>
    <w:basedOn w:val="TableNormal"/>
    <w:uiPriority w:val="98"/>
    <w:semiHidden/>
    <w:rsid w:val="00A652AD"/>
    <w:pPr>
      <w:spacing w:after="0" w:line="240" w:lineRule="auto"/>
    </w:pPr>
    <w:rPr>
      <w:color w:val="A8A8A8" w:themeColor="accent5" w:themeShade="BF"/>
    </w:r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bottom w:val="single" w:sz="12" w:space="0" w:color="EDEDED" w:themeColor="accent5" w:themeTint="99"/>
        </w:tcBorders>
      </w:tcPr>
    </w:tblStylePr>
    <w:tblStylePr w:type="lastRow">
      <w:rPr>
        <w:b/>
        <w:bCs/>
      </w:rPr>
      <w:tblPr/>
      <w:tcPr>
        <w:tcBorders>
          <w:top w:val="doub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GridTable6Colorful-Accent6">
    <w:name w:val="Grid Table 6 Colorful Accent 6"/>
    <w:basedOn w:val="TableNormal"/>
    <w:uiPriority w:val="98"/>
    <w:semiHidden/>
    <w:rsid w:val="00A652AD"/>
    <w:pPr>
      <w:spacing w:after="0" w:line="240" w:lineRule="auto"/>
    </w:pPr>
    <w:rPr>
      <w:color w:val="6BFFFF" w:themeColor="accent6" w:themeShade="BF"/>
    </w:rPr>
    <w:tblPr>
      <w:tblStyleRowBandSize w:val="1"/>
      <w:tblStyleColBandSize w:val="1"/>
      <w:tblBorders>
        <w:top w:val="single" w:sz="4" w:space="0" w:color="EFFFFF" w:themeColor="accent6" w:themeTint="99"/>
        <w:left w:val="single" w:sz="4" w:space="0" w:color="EFFFFF" w:themeColor="accent6" w:themeTint="99"/>
        <w:bottom w:val="single" w:sz="4" w:space="0" w:color="EFFFFF" w:themeColor="accent6" w:themeTint="99"/>
        <w:right w:val="single" w:sz="4" w:space="0" w:color="EFFFFF" w:themeColor="accent6" w:themeTint="99"/>
        <w:insideH w:val="single" w:sz="4" w:space="0" w:color="EFFFFF" w:themeColor="accent6" w:themeTint="99"/>
        <w:insideV w:val="single" w:sz="4" w:space="0" w:color="EFFFFF" w:themeColor="accent6" w:themeTint="99"/>
      </w:tblBorders>
    </w:tblPr>
    <w:tblStylePr w:type="firstRow">
      <w:rPr>
        <w:b/>
        <w:bCs/>
      </w:rPr>
      <w:tblPr/>
      <w:tcPr>
        <w:tcBorders>
          <w:bottom w:val="single" w:sz="12" w:space="0" w:color="EFFFFF" w:themeColor="accent6" w:themeTint="99"/>
        </w:tcBorders>
      </w:tcPr>
    </w:tblStylePr>
    <w:tblStylePr w:type="lastRow">
      <w:rPr>
        <w:b/>
        <w:bCs/>
      </w:rPr>
      <w:tblPr/>
      <w:tcPr>
        <w:tcBorders>
          <w:top w:val="double" w:sz="4" w:space="0" w:color="EFFFFF" w:themeColor="accent6" w:themeTint="99"/>
        </w:tcBorders>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GridTable7Colorful">
    <w:name w:val="Grid Table 7 Colorful"/>
    <w:basedOn w:val="TableNormal"/>
    <w:uiPriority w:val="98"/>
    <w:semiHidden/>
    <w:rsid w:val="00A652AD"/>
    <w:pPr>
      <w:spacing w:after="0" w:line="240" w:lineRule="auto"/>
    </w:pPr>
    <w:rPr>
      <w:color w:val="1D2030" w:themeColor="text1"/>
    </w:rPr>
    <w:tblPr>
      <w:tblStyleRowBandSize w:val="1"/>
      <w:tblStyleColBandSize w:val="1"/>
      <w:tblBorders>
        <w:top w:val="single" w:sz="4" w:space="0" w:color="5E679B" w:themeColor="text1" w:themeTint="99"/>
        <w:left w:val="single" w:sz="4" w:space="0" w:color="5E679B" w:themeColor="text1" w:themeTint="99"/>
        <w:bottom w:val="single" w:sz="4" w:space="0" w:color="5E679B" w:themeColor="text1" w:themeTint="99"/>
        <w:right w:val="single" w:sz="4" w:space="0" w:color="5E679B" w:themeColor="text1" w:themeTint="99"/>
        <w:insideH w:val="single" w:sz="4" w:space="0" w:color="5E679B" w:themeColor="text1" w:themeTint="99"/>
        <w:insideV w:val="single" w:sz="4" w:space="0" w:color="5E679B"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CCDE" w:themeFill="text1" w:themeFillTint="33"/>
      </w:tcPr>
    </w:tblStylePr>
    <w:tblStylePr w:type="band1Horz">
      <w:tblPr/>
      <w:tcPr>
        <w:shd w:val="clear" w:color="auto" w:fill="C8CCDE" w:themeFill="text1" w:themeFillTint="33"/>
      </w:tcPr>
    </w:tblStylePr>
    <w:tblStylePr w:type="neCell">
      <w:tblPr/>
      <w:tcPr>
        <w:tcBorders>
          <w:bottom w:val="single" w:sz="4" w:space="0" w:color="5E679B" w:themeColor="text1" w:themeTint="99"/>
        </w:tcBorders>
      </w:tcPr>
    </w:tblStylePr>
    <w:tblStylePr w:type="nwCell">
      <w:tblPr/>
      <w:tcPr>
        <w:tcBorders>
          <w:bottom w:val="single" w:sz="4" w:space="0" w:color="5E679B" w:themeColor="text1" w:themeTint="99"/>
        </w:tcBorders>
      </w:tcPr>
    </w:tblStylePr>
    <w:tblStylePr w:type="seCell">
      <w:tblPr/>
      <w:tcPr>
        <w:tcBorders>
          <w:top w:val="single" w:sz="4" w:space="0" w:color="5E679B" w:themeColor="text1" w:themeTint="99"/>
        </w:tcBorders>
      </w:tcPr>
    </w:tblStylePr>
    <w:tblStylePr w:type="swCell">
      <w:tblPr/>
      <w:tcPr>
        <w:tcBorders>
          <w:top w:val="single" w:sz="4" w:space="0" w:color="5E679B" w:themeColor="text1" w:themeTint="99"/>
        </w:tcBorders>
      </w:tcPr>
    </w:tblStylePr>
  </w:style>
  <w:style w:type="table" w:styleId="GridTable7Colorful-Accent1">
    <w:name w:val="Grid Table 7 Colorful Accent 1"/>
    <w:basedOn w:val="TableNormal"/>
    <w:uiPriority w:val="98"/>
    <w:semiHidden/>
    <w:rsid w:val="00A652AD"/>
    <w:pPr>
      <w:spacing w:after="0" w:line="240" w:lineRule="auto"/>
    </w:pPr>
    <w:rPr>
      <w:color w:val="08006A" w:themeColor="accent1" w:themeShade="BF"/>
    </w:rPr>
    <w:tblPr>
      <w:tblStyleRowBandSize w:val="1"/>
      <w:tblStyleColBandSize w:val="1"/>
      <w:tblBorders>
        <w:top w:val="single" w:sz="4" w:space="0" w:color="3422FF" w:themeColor="accent1" w:themeTint="99"/>
        <w:left w:val="single" w:sz="4" w:space="0" w:color="3422FF" w:themeColor="accent1" w:themeTint="99"/>
        <w:bottom w:val="single" w:sz="4" w:space="0" w:color="3422FF" w:themeColor="accent1" w:themeTint="99"/>
        <w:right w:val="single" w:sz="4" w:space="0" w:color="3422FF" w:themeColor="accent1" w:themeTint="99"/>
        <w:insideH w:val="single" w:sz="4" w:space="0" w:color="3422FF" w:themeColor="accent1" w:themeTint="99"/>
        <w:insideV w:val="single" w:sz="4" w:space="0" w:color="342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B5FF" w:themeFill="accent1" w:themeFillTint="33"/>
      </w:tcPr>
    </w:tblStylePr>
    <w:tblStylePr w:type="band1Horz">
      <w:tblPr/>
      <w:tcPr>
        <w:shd w:val="clear" w:color="auto" w:fill="BBB5FF" w:themeFill="accent1" w:themeFillTint="33"/>
      </w:tcPr>
    </w:tblStylePr>
    <w:tblStylePr w:type="neCell">
      <w:tblPr/>
      <w:tcPr>
        <w:tcBorders>
          <w:bottom w:val="single" w:sz="4" w:space="0" w:color="3422FF" w:themeColor="accent1" w:themeTint="99"/>
        </w:tcBorders>
      </w:tcPr>
    </w:tblStylePr>
    <w:tblStylePr w:type="nwCell">
      <w:tblPr/>
      <w:tcPr>
        <w:tcBorders>
          <w:bottom w:val="single" w:sz="4" w:space="0" w:color="3422FF" w:themeColor="accent1" w:themeTint="99"/>
        </w:tcBorders>
      </w:tcPr>
    </w:tblStylePr>
    <w:tblStylePr w:type="seCell">
      <w:tblPr/>
      <w:tcPr>
        <w:tcBorders>
          <w:top w:val="single" w:sz="4" w:space="0" w:color="3422FF" w:themeColor="accent1" w:themeTint="99"/>
        </w:tcBorders>
      </w:tcPr>
    </w:tblStylePr>
    <w:tblStylePr w:type="swCell">
      <w:tblPr/>
      <w:tcPr>
        <w:tcBorders>
          <w:top w:val="single" w:sz="4" w:space="0" w:color="3422FF" w:themeColor="accent1" w:themeTint="99"/>
        </w:tcBorders>
      </w:tcPr>
    </w:tblStylePr>
  </w:style>
  <w:style w:type="table" w:styleId="GridTable7Colorful-Accent2">
    <w:name w:val="Grid Table 7 Colorful Accent 2"/>
    <w:basedOn w:val="TableNormal"/>
    <w:uiPriority w:val="98"/>
    <w:semiHidden/>
    <w:rsid w:val="00A652AD"/>
    <w:pPr>
      <w:spacing w:after="0" w:line="240" w:lineRule="auto"/>
    </w:pPr>
    <w:rPr>
      <w:color w:val="1C2AA7" w:themeColor="accent2" w:themeShade="BF"/>
    </w:rPr>
    <w:tblPr>
      <w:tblStyleRowBandSize w:val="1"/>
      <w:tblStyleColBandSize w:val="1"/>
      <w:tblBorders>
        <w:top w:val="single" w:sz="4" w:space="0" w:color="7F8AE9" w:themeColor="accent2" w:themeTint="99"/>
        <w:left w:val="single" w:sz="4" w:space="0" w:color="7F8AE9" w:themeColor="accent2" w:themeTint="99"/>
        <w:bottom w:val="single" w:sz="4" w:space="0" w:color="7F8AE9" w:themeColor="accent2" w:themeTint="99"/>
        <w:right w:val="single" w:sz="4" w:space="0" w:color="7F8AE9" w:themeColor="accent2" w:themeTint="99"/>
        <w:insideH w:val="single" w:sz="4" w:space="0" w:color="7F8AE9" w:themeColor="accent2" w:themeTint="99"/>
        <w:insideV w:val="single" w:sz="4" w:space="0" w:color="7F8AE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8F7" w:themeFill="accent2" w:themeFillTint="33"/>
      </w:tcPr>
    </w:tblStylePr>
    <w:tblStylePr w:type="band1Horz">
      <w:tblPr/>
      <w:tcPr>
        <w:shd w:val="clear" w:color="auto" w:fill="D4D8F7" w:themeFill="accent2" w:themeFillTint="33"/>
      </w:tcPr>
    </w:tblStylePr>
    <w:tblStylePr w:type="neCell">
      <w:tblPr/>
      <w:tcPr>
        <w:tcBorders>
          <w:bottom w:val="single" w:sz="4" w:space="0" w:color="7F8AE9" w:themeColor="accent2" w:themeTint="99"/>
        </w:tcBorders>
      </w:tcPr>
    </w:tblStylePr>
    <w:tblStylePr w:type="nwCell">
      <w:tblPr/>
      <w:tcPr>
        <w:tcBorders>
          <w:bottom w:val="single" w:sz="4" w:space="0" w:color="7F8AE9" w:themeColor="accent2" w:themeTint="99"/>
        </w:tcBorders>
      </w:tcPr>
    </w:tblStylePr>
    <w:tblStylePr w:type="seCell">
      <w:tblPr/>
      <w:tcPr>
        <w:tcBorders>
          <w:top w:val="single" w:sz="4" w:space="0" w:color="7F8AE9" w:themeColor="accent2" w:themeTint="99"/>
        </w:tcBorders>
      </w:tcPr>
    </w:tblStylePr>
    <w:tblStylePr w:type="swCell">
      <w:tblPr/>
      <w:tcPr>
        <w:tcBorders>
          <w:top w:val="single" w:sz="4" w:space="0" w:color="7F8AE9" w:themeColor="accent2" w:themeTint="99"/>
        </w:tcBorders>
      </w:tcPr>
    </w:tblStylePr>
  </w:style>
  <w:style w:type="table" w:styleId="GridTable7Colorful-Accent3">
    <w:name w:val="Grid Table 7 Colorful Accent 3"/>
    <w:basedOn w:val="TableNormal"/>
    <w:uiPriority w:val="98"/>
    <w:semiHidden/>
    <w:rsid w:val="00A652AD"/>
    <w:pPr>
      <w:spacing w:after="0" w:line="240" w:lineRule="auto"/>
    </w:pPr>
    <w:rPr>
      <w:color w:val="A0E439" w:themeColor="accent3" w:themeShade="BF"/>
    </w:rPr>
    <w:tblPr>
      <w:tblStyleRowBandSize w:val="1"/>
      <w:tblStyleColBandSize w:val="1"/>
      <w:tblBorders>
        <w:top w:val="single" w:sz="4" w:space="0" w:color="DEF6BB" w:themeColor="accent3" w:themeTint="99"/>
        <w:left w:val="single" w:sz="4" w:space="0" w:color="DEF6BB" w:themeColor="accent3" w:themeTint="99"/>
        <w:bottom w:val="single" w:sz="4" w:space="0" w:color="DEF6BB" w:themeColor="accent3" w:themeTint="99"/>
        <w:right w:val="single" w:sz="4" w:space="0" w:color="DEF6BB" w:themeColor="accent3" w:themeTint="99"/>
        <w:insideH w:val="single" w:sz="4" w:space="0" w:color="DEF6BB" w:themeColor="accent3" w:themeTint="99"/>
        <w:insideV w:val="single" w:sz="4" w:space="0" w:color="DEF6B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CE8" w:themeFill="accent3" w:themeFillTint="33"/>
      </w:tcPr>
    </w:tblStylePr>
    <w:tblStylePr w:type="band1Horz">
      <w:tblPr/>
      <w:tcPr>
        <w:shd w:val="clear" w:color="auto" w:fill="F4FCE8" w:themeFill="accent3" w:themeFillTint="33"/>
      </w:tcPr>
    </w:tblStylePr>
    <w:tblStylePr w:type="neCell">
      <w:tblPr/>
      <w:tcPr>
        <w:tcBorders>
          <w:bottom w:val="single" w:sz="4" w:space="0" w:color="DEF6BB" w:themeColor="accent3" w:themeTint="99"/>
        </w:tcBorders>
      </w:tcPr>
    </w:tblStylePr>
    <w:tblStylePr w:type="nwCell">
      <w:tblPr/>
      <w:tcPr>
        <w:tcBorders>
          <w:bottom w:val="single" w:sz="4" w:space="0" w:color="DEF6BB" w:themeColor="accent3" w:themeTint="99"/>
        </w:tcBorders>
      </w:tcPr>
    </w:tblStylePr>
    <w:tblStylePr w:type="seCell">
      <w:tblPr/>
      <w:tcPr>
        <w:tcBorders>
          <w:top w:val="single" w:sz="4" w:space="0" w:color="DEF6BB" w:themeColor="accent3" w:themeTint="99"/>
        </w:tcBorders>
      </w:tcPr>
    </w:tblStylePr>
    <w:tblStylePr w:type="swCell">
      <w:tblPr/>
      <w:tcPr>
        <w:tcBorders>
          <w:top w:val="single" w:sz="4" w:space="0" w:color="DEF6BB" w:themeColor="accent3" w:themeTint="99"/>
        </w:tcBorders>
      </w:tcPr>
    </w:tblStylePr>
  </w:style>
  <w:style w:type="table" w:styleId="GridTable7Colorful-Accent4">
    <w:name w:val="Grid Table 7 Colorful Accent 4"/>
    <w:basedOn w:val="TableNormal"/>
    <w:uiPriority w:val="98"/>
    <w:semiHidden/>
    <w:rsid w:val="00A652AD"/>
    <w:pPr>
      <w:spacing w:after="0" w:line="240" w:lineRule="auto"/>
    </w:pPr>
    <w:rPr>
      <w:color w:val="FFFF34" w:themeColor="accent4" w:themeShade="BF"/>
    </w:rPr>
    <w:tblPr>
      <w:tblStyleRowBandSize w:val="1"/>
      <w:tblStyleColBandSize w:val="1"/>
      <w:tblBorders>
        <w:top w:val="single" w:sz="4" w:space="0" w:color="FFFFC3" w:themeColor="accent4" w:themeTint="99"/>
        <w:left w:val="single" w:sz="4" w:space="0" w:color="FFFFC3" w:themeColor="accent4" w:themeTint="99"/>
        <w:bottom w:val="single" w:sz="4" w:space="0" w:color="FFFFC3" w:themeColor="accent4" w:themeTint="99"/>
        <w:right w:val="single" w:sz="4" w:space="0" w:color="FFFFC3" w:themeColor="accent4" w:themeTint="99"/>
        <w:insideH w:val="single" w:sz="4" w:space="0" w:color="FFFFC3" w:themeColor="accent4" w:themeTint="99"/>
        <w:insideV w:val="single" w:sz="4" w:space="0" w:color="FFFF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EB" w:themeFill="accent4" w:themeFillTint="33"/>
      </w:tcPr>
    </w:tblStylePr>
    <w:tblStylePr w:type="band1Horz">
      <w:tblPr/>
      <w:tcPr>
        <w:shd w:val="clear" w:color="auto" w:fill="FFFFEB" w:themeFill="accent4" w:themeFillTint="33"/>
      </w:tcPr>
    </w:tblStylePr>
    <w:tblStylePr w:type="neCell">
      <w:tblPr/>
      <w:tcPr>
        <w:tcBorders>
          <w:bottom w:val="single" w:sz="4" w:space="0" w:color="FFFFC3" w:themeColor="accent4" w:themeTint="99"/>
        </w:tcBorders>
      </w:tcPr>
    </w:tblStylePr>
    <w:tblStylePr w:type="nwCell">
      <w:tblPr/>
      <w:tcPr>
        <w:tcBorders>
          <w:bottom w:val="single" w:sz="4" w:space="0" w:color="FFFFC3" w:themeColor="accent4" w:themeTint="99"/>
        </w:tcBorders>
      </w:tcPr>
    </w:tblStylePr>
    <w:tblStylePr w:type="seCell">
      <w:tblPr/>
      <w:tcPr>
        <w:tcBorders>
          <w:top w:val="single" w:sz="4" w:space="0" w:color="FFFFC3" w:themeColor="accent4" w:themeTint="99"/>
        </w:tcBorders>
      </w:tcPr>
    </w:tblStylePr>
    <w:tblStylePr w:type="swCell">
      <w:tblPr/>
      <w:tcPr>
        <w:tcBorders>
          <w:top w:val="single" w:sz="4" w:space="0" w:color="FFFFC3" w:themeColor="accent4" w:themeTint="99"/>
        </w:tcBorders>
      </w:tcPr>
    </w:tblStylePr>
  </w:style>
  <w:style w:type="table" w:styleId="GridTable7Colorful-Accent5">
    <w:name w:val="Grid Table 7 Colorful Accent 5"/>
    <w:basedOn w:val="TableNormal"/>
    <w:uiPriority w:val="98"/>
    <w:semiHidden/>
    <w:rsid w:val="00A652AD"/>
    <w:pPr>
      <w:spacing w:after="0" w:line="240" w:lineRule="auto"/>
    </w:pPr>
    <w:rPr>
      <w:color w:val="A8A8A8" w:themeColor="accent5" w:themeShade="BF"/>
    </w:r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insideV w:val="single" w:sz="4" w:space="0" w:color="EDEDE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bottom w:val="single" w:sz="4" w:space="0" w:color="EDEDED" w:themeColor="accent5" w:themeTint="99"/>
        </w:tcBorders>
      </w:tcPr>
    </w:tblStylePr>
    <w:tblStylePr w:type="nwCell">
      <w:tblPr/>
      <w:tcPr>
        <w:tcBorders>
          <w:bottom w:val="single" w:sz="4" w:space="0" w:color="EDEDED" w:themeColor="accent5" w:themeTint="99"/>
        </w:tcBorders>
      </w:tcPr>
    </w:tblStylePr>
    <w:tblStylePr w:type="seCell">
      <w:tblPr/>
      <w:tcPr>
        <w:tcBorders>
          <w:top w:val="single" w:sz="4" w:space="0" w:color="EDEDED" w:themeColor="accent5" w:themeTint="99"/>
        </w:tcBorders>
      </w:tcPr>
    </w:tblStylePr>
    <w:tblStylePr w:type="swCell">
      <w:tblPr/>
      <w:tcPr>
        <w:tcBorders>
          <w:top w:val="single" w:sz="4" w:space="0" w:color="EDEDED" w:themeColor="accent5" w:themeTint="99"/>
        </w:tcBorders>
      </w:tcPr>
    </w:tblStylePr>
  </w:style>
  <w:style w:type="table" w:styleId="GridTable7Colorful-Accent6">
    <w:name w:val="Grid Table 7 Colorful Accent 6"/>
    <w:basedOn w:val="TableNormal"/>
    <w:uiPriority w:val="98"/>
    <w:semiHidden/>
    <w:rsid w:val="00A652AD"/>
    <w:pPr>
      <w:spacing w:after="0" w:line="240" w:lineRule="auto"/>
    </w:pPr>
    <w:rPr>
      <w:color w:val="6BFFFF" w:themeColor="accent6" w:themeShade="BF"/>
    </w:rPr>
    <w:tblPr>
      <w:tblStyleRowBandSize w:val="1"/>
      <w:tblStyleColBandSize w:val="1"/>
      <w:tblBorders>
        <w:top w:val="single" w:sz="4" w:space="0" w:color="EFFFFF" w:themeColor="accent6" w:themeTint="99"/>
        <w:left w:val="single" w:sz="4" w:space="0" w:color="EFFFFF" w:themeColor="accent6" w:themeTint="99"/>
        <w:bottom w:val="single" w:sz="4" w:space="0" w:color="EFFFFF" w:themeColor="accent6" w:themeTint="99"/>
        <w:right w:val="single" w:sz="4" w:space="0" w:color="EFFFFF" w:themeColor="accent6" w:themeTint="99"/>
        <w:insideH w:val="single" w:sz="4" w:space="0" w:color="EFFFFF" w:themeColor="accent6" w:themeTint="99"/>
        <w:insideV w:val="single" w:sz="4" w:space="0" w:color="E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FFF" w:themeFill="accent6" w:themeFillTint="33"/>
      </w:tcPr>
    </w:tblStylePr>
    <w:tblStylePr w:type="band1Horz">
      <w:tblPr/>
      <w:tcPr>
        <w:shd w:val="clear" w:color="auto" w:fill="F9FFFF" w:themeFill="accent6" w:themeFillTint="33"/>
      </w:tcPr>
    </w:tblStylePr>
    <w:tblStylePr w:type="neCell">
      <w:tblPr/>
      <w:tcPr>
        <w:tcBorders>
          <w:bottom w:val="single" w:sz="4" w:space="0" w:color="EFFFFF" w:themeColor="accent6" w:themeTint="99"/>
        </w:tcBorders>
      </w:tcPr>
    </w:tblStylePr>
    <w:tblStylePr w:type="nwCell">
      <w:tblPr/>
      <w:tcPr>
        <w:tcBorders>
          <w:bottom w:val="single" w:sz="4" w:space="0" w:color="EFFFFF" w:themeColor="accent6" w:themeTint="99"/>
        </w:tcBorders>
      </w:tcPr>
    </w:tblStylePr>
    <w:tblStylePr w:type="seCell">
      <w:tblPr/>
      <w:tcPr>
        <w:tcBorders>
          <w:top w:val="single" w:sz="4" w:space="0" w:color="EFFFFF" w:themeColor="accent6" w:themeTint="99"/>
        </w:tcBorders>
      </w:tcPr>
    </w:tblStylePr>
    <w:tblStylePr w:type="swCell">
      <w:tblPr/>
      <w:tcPr>
        <w:tcBorders>
          <w:top w:val="single" w:sz="4" w:space="0" w:color="EFFFFF" w:themeColor="accent6" w:themeTint="99"/>
        </w:tcBorders>
      </w:tcPr>
    </w:tblStylePr>
  </w:style>
  <w:style w:type="table" w:styleId="LightGrid">
    <w:name w:val="Light Grid"/>
    <w:basedOn w:val="TableNormal"/>
    <w:uiPriority w:val="98"/>
    <w:semiHidden/>
    <w:unhideWhenUsed/>
    <w:rsid w:val="00A652AD"/>
    <w:pPr>
      <w:spacing w:after="0" w:line="240" w:lineRule="auto"/>
    </w:pPr>
    <w:tblPr>
      <w:tblStyleRowBandSize w:val="1"/>
      <w:tblStyleColBandSize w:val="1"/>
      <w:tblBorders>
        <w:top w:val="single" w:sz="8" w:space="0" w:color="1D2030" w:themeColor="text1"/>
        <w:left w:val="single" w:sz="8" w:space="0" w:color="1D2030" w:themeColor="text1"/>
        <w:bottom w:val="single" w:sz="8" w:space="0" w:color="1D2030" w:themeColor="text1"/>
        <w:right w:val="single" w:sz="8" w:space="0" w:color="1D2030" w:themeColor="text1"/>
        <w:insideH w:val="single" w:sz="8" w:space="0" w:color="1D2030" w:themeColor="text1"/>
        <w:insideV w:val="single" w:sz="8" w:space="0" w:color="1D203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2030" w:themeColor="text1"/>
          <w:left w:val="single" w:sz="8" w:space="0" w:color="1D2030" w:themeColor="text1"/>
          <w:bottom w:val="single" w:sz="18" w:space="0" w:color="1D2030" w:themeColor="text1"/>
          <w:right w:val="single" w:sz="8" w:space="0" w:color="1D2030" w:themeColor="text1"/>
          <w:insideH w:val="nil"/>
          <w:insideV w:val="single" w:sz="8" w:space="0" w:color="1D203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2030" w:themeColor="text1"/>
          <w:left w:val="single" w:sz="8" w:space="0" w:color="1D2030" w:themeColor="text1"/>
          <w:bottom w:val="single" w:sz="8" w:space="0" w:color="1D2030" w:themeColor="text1"/>
          <w:right w:val="single" w:sz="8" w:space="0" w:color="1D2030" w:themeColor="text1"/>
          <w:insideH w:val="nil"/>
          <w:insideV w:val="single" w:sz="8" w:space="0" w:color="1D203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2030" w:themeColor="text1"/>
          <w:left w:val="single" w:sz="8" w:space="0" w:color="1D2030" w:themeColor="text1"/>
          <w:bottom w:val="single" w:sz="8" w:space="0" w:color="1D2030" w:themeColor="text1"/>
          <w:right w:val="single" w:sz="8" w:space="0" w:color="1D2030" w:themeColor="text1"/>
        </w:tcBorders>
      </w:tcPr>
    </w:tblStylePr>
    <w:tblStylePr w:type="band1Vert">
      <w:tblPr/>
      <w:tcPr>
        <w:tcBorders>
          <w:top w:val="single" w:sz="8" w:space="0" w:color="1D2030" w:themeColor="text1"/>
          <w:left w:val="single" w:sz="8" w:space="0" w:color="1D2030" w:themeColor="text1"/>
          <w:bottom w:val="single" w:sz="8" w:space="0" w:color="1D2030" w:themeColor="text1"/>
          <w:right w:val="single" w:sz="8" w:space="0" w:color="1D2030" w:themeColor="text1"/>
        </w:tcBorders>
        <w:shd w:val="clear" w:color="auto" w:fill="BCC0D6" w:themeFill="text1" w:themeFillTint="3F"/>
      </w:tcPr>
    </w:tblStylePr>
    <w:tblStylePr w:type="band1Horz">
      <w:tblPr/>
      <w:tcPr>
        <w:tcBorders>
          <w:top w:val="single" w:sz="8" w:space="0" w:color="1D2030" w:themeColor="text1"/>
          <w:left w:val="single" w:sz="8" w:space="0" w:color="1D2030" w:themeColor="text1"/>
          <w:bottom w:val="single" w:sz="8" w:space="0" w:color="1D2030" w:themeColor="text1"/>
          <w:right w:val="single" w:sz="8" w:space="0" w:color="1D2030" w:themeColor="text1"/>
          <w:insideV w:val="single" w:sz="8" w:space="0" w:color="1D2030" w:themeColor="text1"/>
        </w:tcBorders>
        <w:shd w:val="clear" w:color="auto" w:fill="BCC0D6" w:themeFill="text1" w:themeFillTint="3F"/>
      </w:tcPr>
    </w:tblStylePr>
    <w:tblStylePr w:type="band2Horz">
      <w:tblPr/>
      <w:tcPr>
        <w:tcBorders>
          <w:top w:val="single" w:sz="8" w:space="0" w:color="1D2030" w:themeColor="text1"/>
          <w:left w:val="single" w:sz="8" w:space="0" w:color="1D2030" w:themeColor="text1"/>
          <w:bottom w:val="single" w:sz="8" w:space="0" w:color="1D2030" w:themeColor="text1"/>
          <w:right w:val="single" w:sz="8" w:space="0" w:color="1D2030" w:themeColor="text1"/>
          <w:insideV w:val="single" w:sz="8" w:space="0" w:color="1D2030" w:themeColor="text1"/>
        </w:tcBorders>
      </w:tcPr>
    </w:tblStylePr>
  </w:style>
  <w:style w:type="table" w:styleId="LightGrid-Accent1">
    <w:name w:val="Light Grid Accent 1"/>
    <w:basedOn w:val="TableNormal"/>
    <w:uiPriority w:val="98"/>
    <w:semiHidden/>
    <w:unhideWhenUsed/>
    <w:rsid w:val="00A652AD"/>
    <w:pPr>
      <w:spacing w:after="0" w:line="240" w:lineRule="auto"/>
    </w:pPr>
    <w:tblPr>
      <w:tblStyleRowBandSize w:val="1"/>
      <w:tblStyleColBandSize w:val="1"/>
      <w:tblBorders>
        <w:top w:val="single" w:sz="8" w:space="0" w:color="0C008E" w:themeColor="accent1"/>
        <w:left w:val="single" w:sz="8" w:space="0" w:color="0C008E" w:themeColor="accent1"/>
        <w:bottom w:val="single" w:sz="8" w:space="0" w:color="0C008E" w:themeColor="accent1"/>
        <w:right w:val="single" w:sz="8" w:space="0" w:color="0C008E" w:themeColor="accent1"/>
        <w:insideH w:val="single" w:sz="8" w:space="0" w:color="0C008E" w:themeColor="accent1"/>
        <w:insideV w:val="single" w:sz="8" w:space="0" w:color="0C008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C008E" w:themeColor="accent1"/>
          <w:left w:val="single" w:sz="8" w:space="0" w:color="0C008E" w:themeColor="accent1"/>
          <w:bottom w:val="single" w:sz="18" w:space="0" w:color="0C008E" w:themeColor="accent1"/>
          <w:right w:val="single" w:sz="8" w:space="0" w:color="0C008E" w:themeColor="accent1"/>
          <w:insideH w:val="nil"/>
          <w:insideV w:val="single" w:sz="8" w:space="0" w:color="0C008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C008E" w:themeColor="accent1"/>
          <w:left w:val="single" w:sz="8" w:space="0" w:color="0C008E" w:themeColor="accent1"/>
          <w:bottom w:val="single" w:sz="8" w:space="0" w:color="0C008E" w:themeColor="accent1"/>
          <w:right w:val="single" w:sz="8" w:space="0" w:color="0C008E" w:themeColor="accent1"/>
          <w:insideH w:val="nil"/>
          <w:insideV w:val="single" w:sz="8" w:space="0" w:color="0C008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C008E" w:themeColor="accent1"/>
          <w:left w:val="single" w:sz="8" w:space="0" w:color="0C008E" w:themeColor="accent1"/>
          <w:bottom w:val="single" w:sz="8" w:space="0" w:color="0C008E" w:themeColor="accent1"/>
          <w:right w:val="single" w:sz="8" w:space="0" w:color="0C008E" w:themeColor="accent1"/>
        </w:tcBorders>
      </w:tcPr>
    </w:tblStylePr>
    <w:tblStylePr w:type="band1Vert">
      <w:tblPr/>
      <w:tcPr>
        <w:tcBorders>
          <w:top w:val="single" w:sz="8" w:space="0" w:color="0C008E" w:themeColor="accent1"/>
          <w:left w:val="single" w:sz="8" w:space="0" w:color="0C008E" w:themeColor="accent1"/>
          <w:bottom w:val="single" w:sz="8" w:space="0" w:color="0C008E" w:themeColor="accent1"/>
          <w:right w:val="single" w:sz="8" w:space="0" w:color="0C008E" w:themeColor="accent1"/>
        </w:tcBorders>
        <w:shd w:val="clear" w:color="auto" w:fill="ABA4FF" w:themeFill="accent1" w:themeFillTint="3F"/>
      </w:tcPr>
    </w:tblStylePr>
    <w:tblStylePr w:type="band1Horz">
      <w:tblPr/>
      <w:tcPr>
        <w:tcBorders>
          <w:top w:val="single" w:sz="8" w:space="0" w:color="0C008E" w:themeColor="accent1"/>
          <w:left w:val="single" w:sz="8" w:space="0" w:color="0C008E" w:themeColor="accent1"/>
          <w:bottom w:val="single" w:sz="8" w:space="0" w:color="0C008E" w:themeColor="accent1"/>
          <w:right w:val="single" w:sz="8" w:space="0" w:color="0C008E" w:themeColor="accent1"/>
          <w:insideV w:val="single" w:sz="8" w:space="0" w:color="0C008E" w:themeColor="accent1"/>
        </w:tcBorders>
        <w:shd w:val="clear" w:color="auto" w:fill="ABA4FF" w:themeFill="accent1" w:themeFillTint="3F"/>
      </w:tcPr>
    </w:tblStylePr>
    <w:tblStylePr w:type="band2Horz">
      <w:tblPr/>
      <w:tcPr>
        <w:tcBorders>
          <w:top w:val="single" w:sz="8" w:space="0" w:color="0C008E" w:themeColor="accent1"/>
          <w:left w:val="single" w:sz="8" w:space="0" w:color="0C008E" w:themeColor="accent1"/>
          <w:bottom w:val="single" w:sz="8" w:space="0" w:color="0C008E" w:themeColor="accent1"/>
          <w:right w:val="single" w:sz="8" w:space="0" w:color="0C008E" w:themeColor="accent1"/>
          <w:insideV w:val="single" w:sz="8" w:space="0" w:color="0C008E" w:themeColor="accent1"/>
        </w:tcBorders>
      </w:tcPr>
    </w:tblStylePr>
  </w:style>
  <w:style w:type="table" w:styleId="LightGrid-Accent2">
    <w:name w:val="Light Grid Accent 2"/>
    <w:basedOn w:val="TableNormal"/>
    <w:uiPriority w:val="98"/>
    <w:semiHidden/>
    <w:unhideWhenUsed/>
    <w:rsid w:val="00A652AD"/>
    <w:pPr>
      <w:spacing w:after="0" w:line="240" w:lineRule="auto"/>
    </w:pPr>
    <w:tblPr>
      <w:tblStyleRowBandSize w:val="1"/>
      <w:tblStyleColBandSize w:val="1"/>
      <w:tblBorders>
        <w:top w:val="single" w:sz="8" w:space="0" w:color="2B3DDB" w:themeColor="accent2"/>
        <w:left w:val="single" w:sz="8" w:space="0" w:color="2B3DDB" w:themeColor="accent2"/>
        <w:bottom w:val="single" w:sz="8" w:space="0" w:color="2B3DDB" w:themeColor="accent2"/>
        <w:right w:val="single" w:sz="8" w:space="0" w:color="2B3DDB" w:themeColor="accent2"/>
        <w:insideH w:val="single" w:sz="8" w:space="0" w:color="2B3DDB" w:themeColor="accent2"/>
        <w:insideV w:val="single" w:sz="8" w:space="0" w:color="2B3DD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3DDB" w:themeColor="accent2"/>
          <w:left w:val="single" w:sz="8" w:space="0" w:color="2B3DDB" w:themeColor="accent2"/>
          <w:bottom w:val="single" w:sz="18" w:space="0" w:color="2B3DDB" w:themeColor="accent2"/>
          <w:right w:val="single" w:sz="8" w:space="0" w:color="2B3DDB" w:themeColor="accent2"/>
          <w:insideH w:val="nil"/>
          <w:insideV w:val="single" w:sz="8" w:space="0" w:color="2B3DD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3DDB" w:themeColor="accent2"/>
          <w:left w:val="single" w:sz="8" w:space="0" w:color="2B3DDB" w:themeColor="accent2"/>
          <w:bottom w:val="single" w:sz="8" w:space="0" w:color="2B3DDB" w:themeColor="accent2"/>
          <w:right w:val="single" w:sz="8" w:space="0" w:color="2B3DDB" w:themeColor="accent2"/>
          <w:insideH w:val="nil"/>
          <w:insideV w:val="single" w:sz="8" w:space="0" w:color="2B3DD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3DDB" w:themeColor="accent2"/>
          <w:left w:val="single" w:sz="8" w:space="0" w:color="2B3DDB" w:themeColor="accent2"/>
          <w:bottom w:val="single" w:sz="8" w:space="0" w:color="2B3DDB" w:themeColor="accent2"/>
          <w:right w:val="single" w:sz="8" w:space="0" w:color="2B3DDB" w:themeColor="accent2"/>
        </w:tcBorders>
      </w:tcPr>
    </w:tblStylePr>
    <w:tblStylePr w:type="band1Vert">
      <w:tblPr/>
      <w:tcPr>
        <w:tcBorders>
          <w:top w:val="single" w:sz="8" w:space="0" w:color="2B3DDB" w:themeColor="accent2"/>
          <w:left w:val="single" w:sz="8" w:space="0" w:color="2B3DDB" w:themeColor="accent2"/>
          <w:bottom w:val="single" w:sz="8" w:space="0" w:color="2B3DDB" w:themeColor="accent2"/>
          <w:right w:val="single" w:sz="8" w:space="0" w:color="2B3DDB" w:themeColor="accent2"/>
        </w:tcBorders>
        <w:shd w:val="clear" w:color="auto" w:fill="CACEF6" w:themeFill="accent2" w:themeFillTint="3F"/>
      </w:tcPr>
    </w:tblStylePr>
    <w:tblStylePr w:type="band1Horz">
      <w:tblPr/>
      <w:tcPr>
        <w:tcBorders>
          <w:top w:val="single" w:sz="8" w:space="0" w:color="2B3DDB" w:themeColor="accent2"/>
          <w:left w:val="single" w:sz="8" w:space="0" w:color="2B3DDB" w:themeColor="accent2"/>
          <w:bottom w:val="single" w:sz="8" w:space="0" w:color="2B3DDB" w:themeColor="accent2"/>
          <w:right w:val="single" w:sz="8" w:space="0" w:color="2B3DDB" w:themeColor="accent2"/>
          <w:insideV w:val="single" w:sz="8" w:space="0" w:color="2B3DDB" w:themeColor="accent2"/>
        </w:tcBorders>
        <w:shd w:val="clear" w:color="auto" w:fill="CACEF6" w:themeFill="accent2" w:themeFillTint="3F"/>
      </w:tcPr>
    </w:tblStylePr>
    <w:tblStylePr w:type="band2Horz">
      <w:tblPr/>
      <w:tcPr>
        <w:tcBorders>
          <w:top w:val="single" w:sz="8" w:space="0" w:color="2B3DDB" w:themeColor="accent2"/>
          <w:left w:val="single" w:sz="8" w:space="0" w:color="2B3DDB" w:themeColor="accent2"/>
          <w:bottom w:val="single" w:sz="8" w:space="0" w:color="2B3DDB" w:themeColor="accent2"/>
          <w:right w:val="single" w:sz="8" w:space="0" w:color="2B3DDB" w:themeColor="accent2"/>
          <w:insideV w:val="single" w:sz="8" w:space="0" w:color="2B3DDB" w:themeColor="accent2"/>
        </w:tcBorders>
      </w:tcPr>
    </w:tblStylePr>
  </w:style>
  <w:style w:type="table" w:styleId="LightGrid-Accent3">
    <w:name w:val="Light Grid Accent 3"/>
    <w:basedOn w:val="TableNormal"/>
    <w:uiPriority w:val="98"/>
    <w:semiHidden/>
    <w:unhideWhenUsed/>
    <w:rsid w:val="00A652AD"/>
    <w:pPr>
      <w:spacing w:after="0" w:line="240" w:lineRule="auto"/>
    </w:pPr>
    <w:tblPr>
      <w:tblStyleRowBandSize w:val="1"/>
      <w:tblStyleColBandSize w:val="1"/>
      <w:tblBorders>
        <w:top w:val="single" w:sz="8" w:space="0" w:color="C9F08E" w:themeColor="accent3"/>
        <w:left w:val="single" w:sz="8" w:space="0" w:color="C9F08E" w:themeColor="accent3"/>
        <w:bottom w:val="single" w:sz="8" w:space="0" w:color="C9F08E" w:themeColor="accent3"/>
        <w:right w:val="single" w:sz="8" w:space="0" w:color="C9F08E" w:themeColor="accent3"/>
        <w:insideH w:val="single" w:sz="8" w:space="0" w:color="C9F08E" w:themeColor="accent3"/>
        <w:insideV w:val="single" w:sz="8" w:space="0" w:color="C9F0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9F08E" w:themeColor="accent3"/>
          <w:left w:val="single" w:sz="8" w:space="0" w:color="C9F08E" w:themeColor="accent3"/>
          <w:bottom w:val="single" w:sz="18" w:space="0" w:color="C9F08E" w:themeColor="accent3"/>
          <w:right w:val="single" w:sz="8" w:space="0" w:color="C9F08E" w:themeColor="accent3"/>
          <w:insideH w:val="nil"/>
          <w:insideV w:val="single" w:sz="8" w:space="0" w:color="C9F0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9F08E" w:themeColor="accent3"/>
          <w:left w:val="single" w:sz="8" w:space="0" w:color="C9F08E" w:themeColor="accent3"/>
          <w:bottom w:val="single" w:sz="8" w:space="0" w:color="C9F08E" w:themeColor="accent3"/>
          <w:right w:val="single" w:sz="8" w:space="0" w:color="C9F08E" w:themeColor="accent3"/>
          <w:insideH w:val="nil"/>
          <w:insideV w:val="single" w:sz="8" w:space="0" w:color="C9F0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9F08E" w:themeColor="accent3"/>
          <w:left w:val="single" w:sz="8" w:space="0" w:color="C9F08E" w:themeColor="accent3"/>
          <w:bottom w:val="single" w:sz="8" w:space="0" w:color="C9F08E" w:themeColor="accent3"/>
          <w:right w:val="single" w:sz="8" w:space="0" w:color="C9F08E" w:themeColor="accent3"/>
        </w:tcBorders>
      </w:tcPr>
    </w:tblStylePr>
    <w:tblStylePr w:type="band1Vert">
      <w:tblPr/>
      <w:tcPr>
        <w:tcBorders>
          <w:top w:val="single" w:sz="8" w:space="0" w:color="C9F08E" w:themeColor="accent3"/>
          <w:left w:val="single" w:sz="8" w:space="0" w:color="C9F08E" w:themeColor="accent3"/>
          <w:bottom w:val="single" w:sz="8" w:space="0" w:color="C9F08E" w:themeColor="accent3"/>
          <w:right w:val="single" w:sz="8" w:space="0" w:color="C9F08E" w:themeColor="accent3"/>
        </w:tcBorders>
        <w:shd w:val="clear" w:color="auto" w:fill="F1FBE3" w:themeFill="accent3" w:themeFillTint="3F"/>
      </w:tcPr>
    </w:tblStylePr>
    <w:tblStylePr w:type="band1Horz">
      <w:tblPr/>
      <w:tcPr>
        <w:tcBorders>
          <w:top w:val="single" w:sz="8" w:space="0" w:color="C9F08E" w:themeColor="accent3"/>
          <w:left w:val="single" w:sz="8" w:space="0" w:color="C9F08E" w:themeColor="accent3"/>
          <w:bottom w:val="single" w:sz="8" w:space="0" w:color="C9F08E" w:themeColor="accent3"/>
          <w:right w:val="single" w:sz="8" w:space="0" w:color="C9F08E" w:themeColor="accent3"/>
          <w:insideV w:val="single" w:sz="8" w:space="0" w:color="C9F08E" w:themeColor="accent3"/>
        </w:tcBorders>
        <w:shd w:val="clear" w:color="auto" w:fill="F1FBE3" w:themeFill="accent3" w:themeFillTint="3F"/>
      </w:tcPr>
    </w:tblStylePr>
    <w:tblStylePr w:type="band2Horz">
      <w:tblPr/>
      <w:tcPr>
        <w:tcBorders>
          <w:top w:val="single" w:sz="8" w:space="0" w:color="C9F08E" w:themeColor="accent3"/>
          <w:left w:val="single" w:sz="8" w:space="0" w:color="C9F08E" w:themeColor="accent3"/>
          <w:bottom w:val="single" w:sz="8" w:space="0" w:color="C9F08E" w:themeColor="accent3"/>
          <w:right w:val="single" w:sz="8" w:space="0" w:color="C9F08E" w:themeColor="accent3"/>
          <w:insideV w:val="single" w:sz="8" w:space="0" w:color="C9F08E" w:themeColor="accent3"/>
        </w:tcBorders>
      </w:tcPr>
    </w:tblStylePr>
  </w:style>
  <w:style w:type="table" w:styleId="LightGrid-Accent4">
    <w:name w:val="Light Grid Accent 4"/>
    <w:basedOn w:val="TableNormal"/>
    <w:uiPriority w:val="98"/>
    <w:semiHidden/>
    <w:unhideWhenUsed/>
    <w:rsid w:val="00A652AD"/>
    <w:pPr>
      <w:spacing w:after="0" w:line="240" w:lineRule="auto"/>
    </w:pPr>
    <w:tblPr>
      <w:tblStyleRowBandSize w:val="1"/>
      <w:tblStyleColBandSize w:val="1"/>
      <w:tblBorders>
        <w:top w:val="single" w:sz="8" w:space="0" w:color="FFFF9C" w:themeColor="accent4"/>
        <w:left w:val="single" w:sz="8" w:space="0" w:color="FFFF9C" w:themeColor="accent4"/>
        <w:bottom w:val="single" w:sz="8" w:space="0" w:color="FFFF9C" w:themeColor="accent4"/>
        <w:right w:val="single" w:sz="8" w:space="0" w:color="FFFF9C" w:themeColor="accent4"/>
        <w:insideH w:val="single" w:sz="8" w:space="0" w:color="FFFF9C" w:themeColor="accent4"/>
        <w:insideV w:val="single" w:sz="8" w:space="0" w:color="FFFF9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9C" w:themeColor="accent4"/>
          <w:left w:val="single" w:sz="8" w:space="0" w:color="FFFF9C" w:themeColor="accent4"/>
          <w:bottom w:val="single" w:sz="18" w:space="0" w:color="FFFF9C" w:themeColor="accent4"/>
          <w:right w:val="single" w:sz="8" w:space="0" w:color="FFFF9C" w:themeColor="accent4"/>
          <w:insideH w:val="nil"/>
          <w:insideV w:val="single" w:sz="8" w:space="0" w:color="FFFF9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9C" w:themeColor="accent4"/>
          <w:left w:val="single" w:sz="8" w:space="0" w:color="FFFF9C" w:themeColor="accent4"/>
          <w:bottom w:val="single" w:sz="8" w:space="0" w:color="FFFF9C" w:themeColor="accent4"/>
          <w:right w:val="single" w:sz="8" w:space="0" w:color="FFFF9C" w:themeColor="accent4"/>
          <w:insideH w:val="nil"/>
          <w:insideV w:val="single" w:sz="8" w:space="0" w:color="FFFF9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9C" w:themeColor="accent4"/>
          <w:left w:val="single" w:sz="8" w:space="0" w:color="FFFF9C" w:themeColor="accent4"/>
          <w:bottom w:val="single" w:sz="8" w:space="0" w:color="FFFF9C" w:themeColor="accent4"/>
          <w:right w:val="single" w:sz="8" w:space="0" w:color="FFFF9C" w:themeColor="accent4"/>
        </w:tcBorders>
      </w:tcPr>
    </w:tblStylePr>
    <w:tblStylePr w:type="band1Vert">
      <w:tblPr/>
      <w:tcPr>
        <w:tcBorders>
          <w:top w:val="single" w:sz="8" w:space="0" w:color="FFFF9C" w:themeColor="accent4"/>
          <w:left w:val="single" w:sz="8" w:space="0" w:color="FFFF9C" w:themeColor="accent4"/>
          <w:bottom w:val="single" w:sz="8" w:space="0" w:color="FFFF9C" w:themeColor="accent4"/>
          <w:right w:val="single" w:sz="8" w:space="0" w:color="FFFF9C" w:themeColor="accent4"/>
        </w:tcBorders>
        <w:shd w:val="clear" w:color="auto" w:fill="FFFFE6" w:themeFill="accent4" w:themeFillTint="3F"/>
      </w:tcPr>
    </w:tblStylePr>
    <w:tblStylePr w:type="band1Horz">
      <w:tblPr/>
      <w:tcPr>
        <w:tcBorders>
          <w:top w:val="single" w:sz="8" w:space="0" w:color="FFFF9C" w:themeColor="accent4"/>
          <w:left w:val="single" w:sz="8" w:space="0" w:color="FFFF9C" w:themeColor="accent4"/>
          <w:bottom w:val="single" w:sz="8" w:space="0" w:color="FFFF9C" w:themeColor="accent4"/>
          <w:right w:val="single" w:sz="8" w:space="0" w:color="FFFF9C" w:themeColor="accent4"/>
          <w:insideV w:val="single" w:sz="8" w:space="0" w:color="FFFF9C" w:themeColor="accent4"/>
        </w:tcBorders>
        <w:shd w:val="clear" w:color="auto" w:fill="FFFFE6" w:themeFill="accent4" w:themeFillTint="3F"/>
      </w:tcPr>
    </w:tblStylePr>
    <w:tblStylePr w:type="band2Horz">
      <w:tblPr/>
      <w:tcPr>
        <w:tcBorders>
          <w:top w:val="single" w:sz="8" w:space="0" w:color="FFFF9C" w:themeColor="accent4"/>
          <w:left w:val="single" w:sz="8" w:space="0" w:color="FFFF9C" w:themeColor="accent4"/>
          <w:bottom w:val="single" w:sz="8" w:space="0" w:color="FFFF9C" w:themeColor="accent4"/>
          <w:right w:val="single" w:sz="8" w:space="0" w:color="FFFF9C" w:themeColor="accent4"/>
          <w:insideV w:val="single" w:sz="8" w:space="0" w:color="FFFF9C" w:themeColor="accent4"/>
        </w:tcBorders>
      </w:tcPr>
    </w:tblStylePr>
  </w:style>
  <w:style w:type="table" w:styleId="LightGrid-Accent5">
    <w:name w:val="Light Grid Accent 5"/>
    <w:basedOn w:val="TableNormal"/>
    <w:uiPriority w:val="98"/>
    <w:semiHidden/>
    <w:unhideWhenUsed/>
    <w:rsid w:val="00A652AD"/>
    <w:pPr>
      <w:spacing w:after="0" w:line="240" w:lineRule="auto"/>
    </w:p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insideH w:val="single" w:sz="8" w:space="0" w:color="E1E1E1" w:themeColor="accent5"/>
        <w:insideV w:val="single" w:sz="8" w:space="0" w:color="E1E1E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E1E1" w:themeColor="accent5"/>
          <w:left w:val="single" w:sz="8" w:space="0" w:color="E1E1E1" w:themeColor="accent5"/>
          <w:bottom w:val="single" w:sz="18" w:space="0" w:color="E1E1E1" w:themeColor="accent5"/>
          <w:right w:val="single" w:sz="8" w:space="0" w:color="E1E1E1" w:themeColor="accent5"/>
          <w:insideH w:val="nil"/>
          <w:insideV w:val="single" w:sz="8" w:space="0" w:color="E1E1E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E1E1" w:themeColor="accent5"/>
          <w:left w:val="single" w:sz="8" w:space="0" w:color="E1E1E1" w:themeColor="accent5"/>
          <w:bottom w:val="single" w:sz="8" w:space="0" w:color="E1E1E1" w:themeColor="accent5"/>
          <w:right w:val="single" w:sz="8" w:space="0" w:color="E1E1E1" w:themeColor="accent5"/>
          <w:insideH w:val="nil"/>
          <w:insideV w:val="single" w:sz="8" w:space="0" w:color="E1E1E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tblStylePr w:type="band1Vert">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shd w:val="clear" w:color="auto" w:fill="F7F7F7" w:themeFill="accent5" w:themeFillTint="3F"/>
      </w:tcPr>
    </w:tblStylePr>
    <w:tblStylePr w:type="band1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insideV w:val="single" w:sz="8" w:space="0" w:color="E1E1E1" w:themeColor="accent5"/>
        </w:tcBorders>
        <w:shd w:val="clear" w:color="auto" w:fill="F7F7F7" w:themeFill="accent5" w:themeFillTint="3F"/>
      </w:tcPr>
    </w:tblStylePr>
    <w:tblStylePr w:type="band2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insideV w:val="single" w:sz="8" w:space="0" w:color="E1E1E1" w:themeColor="accent5"/>
        </w:tcBorders>
      </w:tcPr>
    </w:tblStylePr>
  </w:style>
  <w:style w:type="table" w:styleId="LightGrid-Accent6">
    <w:name w:val="Light Grid Accent 6"/>
    <w:basedOn w:val="TableNormal"/>
    <w:uiPriority w:val="98"/>
    <w:semiHidden/>
    <w:unhideWhenUsed/>
    <w:rsid w:val="00A652AD"/>
    <w:pPr>
      <w:spacing w:after="0" w:line="240" w:lineRule="auto"/>
    </w:pPr>
    <w:tblPr>
      <w:tblStyleRowBandSize w:val="1"/>
      <w:tblStyleColBandSize w:val="1"/>
      <w:tblBorders>
        <w:top w:val="single" w:sz="8" w:space="0" w:color="E5FFFF" w:themeColor="accent6"/>
        <w:left w:val="single" w:sz="8" w:space="0" w:color="E5FFFF" w:themeColor="accent6"/>
        <w:bottom w:val="single" w:sz="8" w:space="0" w:color="E5FFFF" w:themeColor="accent6"/>
        <w:right w:val="single" w:sz="8" w:space="0" w:color="E5FFFF" w:themeColor="accent6"/>
        <w:insideH w:val="single" w:sz="8" w:space="0" w:color="E5FFFF" w:themeColor="accent6"/>
        <w:insideV w:val="single" w:sz="8" w:space="0" w:color="E5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FFFF" w:themeColor="accent6"/>
          <w:left w:val="single" w:sz="8" w:space="0" w:color="E5FFFF" w:themeColor="accent6"/>
          <w:bottom w:val="single" w:sz="18" w:space="0" w:color="E5FFFF" w:themeColor="accent6"/>
          <w:right w:val="single" w:sz="8" w:space="0" w:color="E5FFFF" w:themeColor="accent6"/>
          <w:insideH w:val="nil"/>
          <w:insideV w:val="single" w:sz="8" w:space="0" w:color="E5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FFFF" w:themeColor="accent6"/>
          <w:left w:val="single" w:sz="8" w:space="0" w:color="E5FFFF" w:themeColor="accent6"/>
          <w:bottom w:val="single" w:sz="8" w:space="0" w:color="E5FFFF" w:themeColor="accent6"/>
          <w:right w:val="single" w:sz="8" w:space="0" w:color="E5FFFF" w:themeColor="accent6"/>
          <w:insideH w:val="nil"/>
          <w:insideV w:val="single" w:sz="8" w:space="0" w:color="E5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FFFF" w:themeColor="accent6"/>
          <w:left w:val="single" w:sz="8" w:space="0" w:color="E5FFFF" w:themeColor="accent6"/>
          <w:bottom w:val="single" w:sz="8" w:space="0" w:color="E5FFFF" w:themeColor="accent6"/>
          <w:right w:val="single" w:sz="8" w:space="0" w:color="E5FFFF" w:themeColor="accent6"/>
        </w:tcBorders>
      </w:tcPr>
    </w:tblStylePr>
    <w:tblStylePr w:type="band1Vert">
      <w:tblPr/>
      <w:tcPr>
        <w:tcBorders>
          <w:top w:val="single" w:sz="8" w:space="0" w:color="E5FFFF" w:themeColor="accent6"/>
          <w:left w:val="single" w:sz="8" w:space="0" w:color="E5FFFF" w:themeColor="accent6"/>
          <w:bottom w:val="single" w:sz="8" w:space="0" w:color="E5FFFF" w:themeColor="accent6"/>
          <w:right w:val="single" w:sz="8" w:space="0" w:color="E5FFFF" w:themeColor="accent6"/>
        </w:tcBorders>
        <w:shd w:val="clear" w:color="auto" w:fill="F8FFFF" w:themeFill="accent6" w:themeFillTint="3F"/>
      </w:tcPr>
    </w:tblStylePr>
    <w:tblStylePr w:type="band1Horz">
      <w:tblPr/>
      <w:tcPr>
        <w:tcBorders>
          <w:top w:val="single" w:sz="8" w:space="0" w:color="E5FFFF" w:themeColor="accent6"/>
          <w:left w:val="single" w:sz="8" w:space="0" w:color="E5FFFF" w:themeColor="accent6"/>
          <w:bottom w:val="single" w:sz="8" w:space="0" w:color="E5FFFF" w:themeColor="accent6"/>
          <w:right w:val="single" w:sz="8" w:space="0" w:color="E5FFFF" w:themeColor="accent6"/>
          <w:insideV w:val="single" w:sz="8" w:space="0" w:color="E5FFFF" w:themeColor="accent6"/>
        </w:tcBorders>
        <w:shd w:val="clear" w:color="auto" w:fill="F8FFFF" w:themeFill="accent6" w:themeFillTint="3F"/>
      </w:tcPr>
    </w:tblStylePr>
    <w:tblStylePr w:type="band2Horz">
      <w:tblPr/>
      <w:tcPr>
        <w:tcBorders>
          <w:top w:val="single" w:sz="8" w:space="0" w:color="E5FFFF" w:themeColor="accent6"/>
          <w:left w:val="single" w:sz="8" w:space="0" w:color="E5FFFF" w:themeColor="accent6"/>
          <w:bottom w:val="single" w:sz="8" w:space="0" w:color="E5FFFF" w:themeColor="accent6"/>
          <w:right w:val="single" w:sz="8" w:space="0" w:color="E5FFFF" w:themeColor="accent6"/>
          <w:insideV w:val="single" w:sz="8" w:space="0" w:color="E5FFFF" w:themeColor="accent6"/>
        </w:tcBorders>
      </w:tcPr>
    </w:tblStylePr>
  </w:style>
  <w:style w:type="table" w:styleId="LightList">
    <w:name w:val="Light List"/>
    <w:basedOn w:val="TableNormal"/>
    <w:uiPriority w:val="98"/>
    <w:semiHidden/>
    <w:unhideWhenUsed/>
    <w:rsid w:val="00A652AD"/>
    <w:pPr>
      <w:spacing w:after="0" w:line="240" w:lineRule="auto"/>
    </w:pPr>
    <w:tblPr>
      <w:tblStyleRowBandSize w:val="1"/>
      <w:tblStyleColBandSize w:val="1"/>
      <w:tblBorders>
        <w:top w:val="single" w:sz="8" w:space="0" w:color="1D2030" w:themeColor="text1"/>
        <w:left w:val="single" w:sz="8" w:space="0" w:color="1D2030" w:themeColor="text1"/>
        <w:bottom w:val="single" w:sz="8" w:space="0" w:color="1D2030" w:themeColor="text1"/>
        <w:right w:val="single" w:sz="8" w:space="0" w:color="1D2030" w:themeColor="text1"/>
      </w:tblBorders>
    </w:tblPr>
    <w:tblStylePr w:type="firstRow">
      <w:pPr>
        <w:spacing w:before="0" w:after="0" w:line="240" w:lineRule="auto"/>
      </w:pPr>
      <w:rPr>
        <w:b/>
        <w:bCs/>
        <w:color w:val="FFFFFF" w:themeColor="background1"/>
      </w:rPr>
      <w:tblPr/>
      <w:tcPr>
        <w:shd w:val="clear" w:color="auto" w:fill="1D2030" w:themeFill="text1"/>
      </w:tcPr>
    </w:tblStylePr>
    <w:tblStylePr w:type="lastRow">
      <w:pPr>
        <w:spacing w:before="0" w:after="0" w:line="240" w:lineRule="auto"/>
      </w:pPr>
      <w:rPr>
        <w:b/>
        <w:bCs/>
      </w:rPr>
      <w:tblPr/>
      <w:tcPr>
        <w:tcBorders>
          <w:top w:val="double" w:sz="6" w:space="0" w:color="1D2030" w:themeColor="text1"/>
          <w:left w:val="single" w:sz="8" w:space="0" w:color="1D2030" w:themeColor="text1"/>
          <w:bottom w:val="single" w:sz="8" w:space="0" w:color="1D2030" w:themeColor="text1"/>
          <w:right w:val="single" w:sz="8" w:space="0" w:color="1D2030" w:themeColor="text1"/>
        </w:tcBorders>
      </w:tcPr>
    </w:tblStylePr>
    <w:tblStylePr w:type="firstCol">
      <w:rPr>
        <w:b/>
        <w:bCs/>
      </w:rPr>
    </w:tblStylePr>
    <w:tblStylePr w:type="lastCol">
      <w:rPr>
        <w:b/>
        <w:bCs/>
      </w:rPr>
    </w:tblStylePr>
    <w:tblStylePr w:type="band1Vert">
      <w:tblPr/>
      <w:tcPr>
        <w:tcBorders>
          <w:top w:val="single" w:sz="8" w:space="0" w:color="1D2030" w:themeColor="text1"/>
          <w:left w:val="single" w:sz="8" w:space="0" w:color="1D2030" w:themeColor="text1"/>
          <w:bottom w:val="single" w:sz="8" w:space="0" w:color="1D2030" w:themeColor="text1"/>
          <w:right w:val="single" w:sz="8" w:space="0" w:color="1D2030" w:themeColor="text1"/>
        </w:tcBorders>
      </w:tcPr>
    </w:tblStylePr>
    <w:tblStylePr w:type="band1Horz">
      <w:tblPr/>
      <w:tcPr>
        <w:tcBorders>
          <w:top w:val="single" w:sz="8" w:space="0" w:color="1D2030" w:themeColor="text1"/>
          <w:left w:val="single" w:sz="8" w:space="0" w:color="1D2030" w:themeColor="text1"/>
          <w:bottom w:val="single" w:sz="8" w:space="0" w:color="1D2030" w:themeColor="text1"/>
          <w:right w:val="single" w:sz="8" w:space="0" w:color="1D2030" w:themeColor="text1"/>
        </w:tcBorders>
      </w:tcPr>
    </w:tblStylePr>
  </w:style>
  <w:style w:type="table" w:styleId="LightList-Accent1">
    <w:name w:val="Light List Accent 1"/>
    <w:basedOn w:val="TableNormal"/>
    <w:uiPriority w:val="98"/>
    <w:semiHidden/>
    <w:unhideWhenUsed/>
    <w:rsid w:val="00A652AD"/>
    <w:pPr>
      <w:spacing w:after="0" w:line="240" w:lineRule="auto"/>
    </w:pPr>
    <w:tblPr>
      <w:tblStyleRowBandSize w:val="1"/>
      <w:tblStyleColBandSize w:val="1"/>
      <w:tblBorders>
        <w:top w:val="single" w:sz="8" w:space="0" w:color="0C008E" w:themeColor="accent1"/>
        <w:left w:val="single" w:sz="8" w:space="0" w:color="0C008E" w:themeColor="accent1"/>
        <w:bottom w:val="single" w:sz="8" w:space="0" w:color="0C008E" w:themeColor="accent1"/>
        <w:right w:val="single" w:sz="8" w:space="0" w:color="0C008E" w:themeColor="accent1"/>
      </w:tblBorders>
    </w:tblPr>
    <w:tblStylePr w:type="firstRow">
      <w:pPr>
        <w:spacing w:before="0" w:after="0" w:line="240" w:lineRule="auto"/>
      </w:pPr>
      <w:rPr>
        <w:b/>
        <w:bCs/>
        <w:color w:val="FFFFFF" w:themeColor="background1"/>
      </w:rPr>
      <w:tblPr/>
      <w:tcPr>
        <w:shd w:val="clear" w:color="auto" w:fill="0C008E" w:themeFill="accent1"/>
      </w:tcPr>
    </w:tblStylePr>
    <w:tblStylePr w:type="lastRow">
      <w:pPr>
        <w:spacing w:before="0" w:after="0" w:line="240" w:lineRule="auto"/>
      </w:pPr>
      <w:rPr>
        <w:b/>
        <w:bCs/>
      </w:rPr>
      <w:tblPr/>
      <w:tcPr>
        <w:tcBorders>
          <w:top w:val="double" w:sz="6" w:space="0" w:color="0C008E" w:themeColor="accent1"/>
          <w:left w:val="single" w:sz="8" w:space="0" w:color="0C008E" w:themeColor="accent1"/>
          <w:bottom w:val="single" w:sz="8" w:space="0" w:color="0C008E" w:themeColor="accent1"/>
          <w:right w:val="single" w:sz="8" w:space="0" w:color="0C008E" w:themeColor="accent1"/>
        </w:tcBorders>
      </w:tcPr>
    </w:tblStylePr>
    <w:tblStylePr w:type="firstCol">
      <w:rPr>
        <w:b/>
        <w:bCs/>
      </w:rPr>
    </w:tblStylePr>
    <w:tblStylePr w:type="lastCol">
      <w:rPr>
        <w:b/>
        <w:bCs/>
      </w:rPr>
    </w:tblStylePr>
    <w:tblStylePr w:type="band1Vert">
      <w:tblPr/>
      <w:tcPr>
        <w:tcBorders>
          <w:top w:val="single" w:sz="8" w:space="0" w:color="0C008E" w:themeColor="accent1"/>
          <w:left w:val="single" w:sz="8" w:space="0" w:color="0C008E" w:themeColor="accent1"/>
          <w:bottom w:val="single" w:sz="8" w:space="0" w:color="0C008E" w:themeColor="accent1"/>
          <w:right w:val="single" w:sz="8" w:space="0" w:color="0C008E" w:themeColor="accent1"/>
        </w:tcBorders>
      </w:tcPr>
    </w:tblStylePr>
    <w:tblStylePr w:type="band1Horz">
      <w:tblPr/>
      <w:tcPr>
        <w:tcBorders>
          <w:top w:val="single" w:sz="8" w:space="0" w:color="0C008E" w:themeColor="accent1"/>
          <w:left w:val="single" w:sz="8" w:space="0" w:color="0C008E" w:themeColor="accent1"/>
          <w:bottom w:val="single" w:sz="8" w:space="0" w:color="0C008E" w:themeColor="accent1"/>
          <w:right w:val="single" w:sz="8" w:space="0" w:color="0C008E" w:themeColor="accent1"/>
        </w:tcBorders>
      </w:tcPr>
    </w:tblStylePr>
  </w:style>
  <w:style w:type="table" w:styleId="LightList-Accent2">
    <w:name w:val="Light List Accent 2"/>
    <w:basedOn w:val="TableNormal"/>
    <w:uiPriority w:val="98"/>
    <w:semiHidden/>
    <w:unhideWhenUsed/>
    <w:rsid w:val="00A652AD"/>
    <w:pPr>
      <w:spacing w:after="0" w:line="240" w:lineRule="auto"/>
    </w:pPr>
    <w:tblPr>
      <w:tblStyleRowBandSize w:val="1"/>
      <w:tblStyleColBandSize w:val="1"/>
      <w:tblBorders>
        <w:top w:val="single" w:sz="8" w:space="0" w:color="2B3DDB" w:themeColor="accent2"/>
        <w:left w:val="single" w:sz="8" w:space="0" w:color="2B3DDB" w:themeColor="accent2"/>
        <w:bottom w:val="single" w:sz="8" w:space="0" w:color="2B3DDB" w:themeColor="accent2"/>
        <w:right w:val="single" w:sz="8" w:space="0" w:color="2B3DDB" w:themeColor="accent2"/>
      </w:tblBorders>
    </w:tblPr>
    <w:tblStylePr w:type="firstRow">
      <w:pPr>
        <w:spacing w:before="0" w:after="0" w:line="240" w:lineRule="auto"/>
      </w:pPr>
      <w:rPr>
        <w:b/>
        <w:bCs/>
        <w:color w:val="FFFFFF" w:themeColor="background1"/>
      </w:rPr>
      <w:tblPr/>
      <w:tcPr>
        <w:shd w:val="clear" w:color="auto" w:fill="2B3DDB" w:themeFill="accent2"/>
      </w:tcPr>
    </w:tblStylePr>
    <w:tblStylePr w:type="lastRow">
      <w:pPr>
        <w:spacing w:before="0" w:after="0" w:line="240" w:lineRule="auto"/>
      </w:pPr>
      <w:rPr>
        <w:b/>
        <w:bCs/>
      </w:rPr>
      <w:tblPr/>
      <w:tcPr>
        <w:tcBorders>
          <w:top w:val="double" w:sz="6" w:space="0" w:color="2B3DDB" w:themeColor="accent2"/>
          <w:left w:val="single" w:sz="8" w:space="0" w:color="2B3DDB" w:themeColor="accent2"/>
          <w:bottom w:val="single" w:sz="8" w:space="0" w:color="2B3DDB" w:themeColor="accent2"/>
          <w:right w:val="single" w:sz="8" w:space="0" w:color="2B3DDB" w:themeColor="accent2"/>
        </w:tcBorders>
      </w:tcPr>
    </w:tblStylePr>
    <w:tblStylePr w:type="firstCol">
      <w:rPr>
        <w:b/>
        <w:bCs/>
      </w:rPr>
    </w:tblStylePr>
    <w:tblStylePr w:type="lastCol">
      <w:rPr>
        <w:b/>
        <w:bCs/>
      </w:rPr>
    </w:tblStylePr>
    <w:tblStylePr w:type="band1Vert">
      <w:tblPr/>
      <w:tcPr>
        <w:tcBorders>
          <w:top w:val="single" w:sz="8" w:space="0" w:color="2B3DDB" w:themeColor="accent2"/>
          <w:left w:val="single" w:sz="8" w:space="0" w:color="2B3DDB" w:themeColor="accent2"/>
          <w:bottom w:val="single" w:sz="8" w:space="0" w:color="2B3DDB" w:themeColor="accent2"/>
          <w:right w:val="single" w:sz="8" w:space="0" w:color="2B3DDB" w:themeColor="accent2"/>
        </w:tcBorders>
      </w:tcPr>
    </w:tblStylePr>
    <w:tblStylePr w:type="band1Horz">
      <w:tblPr/>
      <w:tcPr>
        <w:tcBorders>
          <w:top w:val="single" w:sz="8" w:space="0" w:color="2B3DDB" w:themeColor="accent2"/>
          <w:left w:val="single" w:sz="8" w:space="0" w:color="2B3DDB" w:themeColor="accent2"/>
          <w:bottom w:val="single" w:sz="8" w:space="0" w:color="2B3DDB" w:themeColor="accent2"/>
          <w:right w:val="single" w:sz="8" w:space="0" w:color="2B3DDB" w:themeColor="accent2"/>
        </w:tcBorders>
      </w:tcPr>
    </w:tblStylePr>
  </w:style>
  <w:style w:type="table" w:styleId="LightList-Accent3">
    <w:name w:val="Light List Accent 3"/>
    <w:basedOn w:val="TableNormal"/>
    <w:uiPriority w:val="98"/>
    <w:semiHidden/>
    <w:unhideWhenUsed/>
    <w:rsid w:val="00A652AD"/>
    <w:pPr>
      <w:spacing w:after="0" w:line="240" w:lineRule="auto"/>
    </w:pPr>
    <w:tblPr>
      <w:tblStyleRowBandSize w:val="1"/>
      <w:tblStyleColBandSize w:val="1"/>
      <w:tblBorders>
        <w:top w:val="single" w:sz="8" w:space="0" w:color="C9F08E" w:themeColor="accent3"/>
        <w:left w:val="single" w:sz="8" w:space="0" w:color="C9F08E" w:themeColor="accent3"/>
        <w:bottom w:val="single" w:sz="8" w:space="0" w:color="C9F08E" w:themeColor="accent3"/>
        <w:right w:val="single" w:sz="8" w:space="0" w:color="C9F08E" w:themeColor="accent3"/>
      </w:tblBorders>
    </w:tblPr>
    <w:tblStylePr w:type="firstRow">
      <w:pPr>
        <w:spacing w:before="0" w:after="0" w:line="240" w:lineRule="auto"/>
      </w:pPr>
      <w:rPr>
        <w:b/>
        <w:bCs/>
        <w:color w:val="FFFFFF" w:themeColor="background1"/>
      </w:rPr>
      <w:tblPr/>
      <w:tcPr>
        <w:shd w:val="clear" w:color="auto" w:fill="C9F08E" w:themeFill="accent3"/>
      </w:tcPr>
    </w:tblStylePr>
    <w:tblStylePr w:type="lastRow">
      <w:pPr>
        <w:spacing w:before="0" w:after="0" w:line="240" w:lineRule="auto"/>
      </w:pPr>
      <w:rPr>
        <w:b/>
        <w:bCs/>
      </w:rPr>
      <w:tblPr/>
      <w:tcPr>
        <w:tcBorders>
          <w:top w:val="double" w:sz="6" w:space="0" w:color="C9F08E" w:themeColor="accent3"/>
          <w:left w:val="single" w:sz="8" w:space="0" w:color="C9F08E" w:themeColor="accent3"/>
          <w:bottom w:val="single" w:sz="8" w:space="0" w:color="C9F08E" w:themeColor="accent3"/>
          <w:right w:val="single" w:sz="8" w:space="0" w:color="C9F08E" w:themeColor="accent3"/>
        </w:tcBorders>
      </w:tcPr>
    </w:tblStylePr>
    <w:tblStylePr w:type="firstCol">
      <w:rPr>
        <w:b/>
        <w:bCs/>
      </w:rPr>
    </w:tblStylePr>
    <w:tblStylePr w:type="lastCol">
      <w:rPr>
        <w:b/>
        <w:bCs/>
      </w:rPr>
    </w:tblStylePr>
    <w:tblStylePr w:type="band1Vert">
      <w:tblPr/>
      <w:tcPr>
        <w:tcBorders>
          <w:top w:val="single" w:sz="8" w:space="0" w:color="C9F08E" w:themeColor="accent3"/>
          <w:left w:val="single" w:sz="8" w:space="0" w:color="C9F08E" w:themeColor="accent3"/>
          <w:bottom w:val="single" w:sz="8" w:space="0" w:color="C9F08E" w:themeColor="accent3"/>
          <w:right w:val="single" w:sz="8" w:space="0" w:color="C9F08E" w:themeColor="accent3"/>
        </w:tcBorders>
      </w:tcPr>
    </w:tblStylePr>
    <w:tblStylePr w:type="band1Horz">
      <w:tblPr/>
      <w:tcPr>
        <w:tcBorders>
          <w:top w:val="single" w:sz="8" w:space="0" w:color="C9F08E" w:themeColor="accent3"/>
          <w:left w:val="single" w:sz="8" w:space="0" w:color="C9F08E" w:themeColor="accent3"/>
          <w:bottom w:val="single" w:sz="8" w:space="0" w:color="C9F08E" w:themeColor="accent3"/>
          <w:right w:val="single" w:sz="8" w:space="0" w:color="C9F08E" w:themeColor="accent3"/>
        </w:tcBorders>
      </w:tcPr>
    </w:tblStylePr>
  </w:style>
  <w:style w:type="table" w:styleId="LightList-Accent4">
    <w:name w:val="Light List Accent 4"/>
    <w:basedOn w:val="TableNormal"/>
    <w:uiPriority w:val="98"/>
    <w:semiHidden/>
    <w:unhideWhenUsed/>
    <w:rsid w:val="00A652AD"/>
    <w:pPr>
      <w:spacing w:after="0" w:line="240" w:lineRule="auto"/>
    </w:pPr>
    <w:tblPr>
      <w:tblStyleRowBandSize w:val="1"/>
      <w:tblStyleColBandSize w:val="1"/>
      <w:tblBorders>
        <w:top w:val="single" w:sz="8" w:space="0" w:color="FFFF9C" w:themeColor="accent4"/>
        <w:left w:val="single" w:sz="8" w:space="0" w:color="FFFF9C" w:themeColor="accent4"/>
        <w:bottom w:val="single" w:sz="8" w:space="0" w:color="FFFF9C" w:themeColor="accent4"/>
        <w:right w:val="single" w:sz="8" w:space="0" w:color="FFFF9C" w:themeColor="accent4"/>
      </w:tblBorders>
    </w:tblPr>
    <w:tblStylePr w:type="firstRow">
      <w:pPr>
        <w:spacing w:before="0" w:after="0" w:line="240" w:lineRule="auto"/>
      </w:pPr>
      <w:rPr>
        <w:b/>
        <w:bCs/>
        <w:color w:val="FFFFFF" w:themeColor="background1"/>
      </w:rPr>
      <w:tblPr/>
      <w:tcPr>
        <w:shd w:val="clear" w:color="auto" w:fill="FFFF9C" w:themeFill="accent4"/>
      </w:tcPr>
    </w:tblStylePr>
    <w:tblStylePr w:type="lastRow">
      <w:pPr>
        <w:spacing w:before="0" w:after="0" w:line="240" w:lineRule="auto"/>
      </w:pPr>
      <w:rPr>
        <w:b/>
        <w:bCs/>
      </w:rPr>
      <w:tblPr/>
      <w:tcPr>
        <w:tcBorders>
          <w:top w:val="double" w:sz="6" w:space="0" w:color="FFFF9C" w:themeColor="accent4"/>
          <w:left w:val="single" w:sz="8" w:space="0" w:color="FFFF9C" w:themeColor="accent4"/>
          <w:bottom w:val="single" w:sz="8" w:space="0" w:color="FFFF9C" w:themeColor="accent4"/>
          <w:right w:val="single" w:sz="8" w:space="0" w:color="FFFF9C" w:themeColor="accent4"/>
        </w:tcBorders>
      </w:tcPr>
    </w:tblStylePr>
    <w:tblStylePr w:type="firstCol">
      <w:rPr>
        <w:b/>
        <w:bCs/>
      </w:rPr>
    </w:tblStylePr>
    <w:tblStylePr w:type="lastCol">
      <w:rPr>
        <w:b/>
        <w:bCs/>
      </w:rPr>
    </w:tblStylePr>
    <w:tblStylePr w:type="band1Vert">
      <w:tblPr/>
      <w:tcPr>
        <w:tcBorders>
          <w:top w:val="single" w:sz="8" w:space="0" w:color="FFFF9C" w:themeColor="accent4"/>
          <w:left w:val="single" w:sz="8" w:space="0" w:color="FFFF9C" w:themeColor="accent4"/>
          <w:bottom w:val="single" w:sz="8" w:space="0" w:color="FFFF9C" w:themeColor="accent4"/>
          <w:right w:val="single" w:sz="8" w:space="0" w:color="FFFF9C" w:themeColor="accent4"/>
        </w:tcBorders>
      </w:tcPr>
    </w:tblStylePr>
    <w:tblStylePr w:type="band1Horz">
      <w:tblPr/>
      <w:tcPr>
        <w:tcBorders>
          <w:top w:val="single" w:sz="8" w:space="0" w:color="FFFF9C" w:themeColor="accent4"/>
          <w:left w:val="single" w:sz="8" w:space="0" w:color="FFFF9C" w:themeColor="accent4"/>
          <w:bottom w:val="single" w:sz="8" w:space="0" w:color="FFFF9C" w:themeColor="accent4"/>
          <w:right w:val="single" w:sz="8" w:space="0" w:color="FFFF9C" w:themeColor="accent4"/>
        </w:tcBorders>
      </w:tcPr>
    </w:tblStylePr>
  </w:style>
  <w:style w:type="table" w:styleId="LightList-Accent5">
    <w:name w:val="Light List Accent 5"/>
    <w:basedOn w:val="TableNormal"/>
    <w:uiPriority w:val="98"/>
    <w:semiHidden/>
    <w:unhideWhenUsed/>
    <w:rsid w:val="00A652AD"/>
    <w:pPr>
      <w:spacing w:after="0" w:line="240" w:lineRule="auto"/>
    </w:p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tblBorders>
    </w:tblPr>
    <w:tblStylePr w:type="firstRow">
      <w:pPr>
        <w:spacing w:before="0" w:after="0" w:line="240" w:lineRule="auto"/>
      </w:pPr>
      <w:rPr>
        <w:b/>
        <w:bCs/>
        <w:color w:val="FFFFFF" w:themeColor="background1"/>
      </w:rPr>
      <w:tblPr/>
      <w:tcPr>
        <w:shd w:val="clear" w:color="auto" w:fill="E1E1E1" w:themeFill="accent5"/>
      </w:tcPr>
    </w:tblStylePr>
    <w:tblStylePr w:type="lastRow">
      <w:pPr>
        <w:spacing w:before="0" w:after="0" w:line="240" w:lineRule="auto"/>
      </w:pPr>
      <w:rPr>
        <w:b/>
        <w:bCs/>
      </w:rPr>
      <w:tblPr/>
      <w:tcPr>
        <w:tcBorders>
          <w:top w:val="double" w:sz="6" w:space="0" w:color="E1E1E1" w:themeColor="accent5"/>
          <w:left w:val="single" w:sz="8" w:space="0" w:color="E1E1E1" w:themeColor="accent5"/>
          <w:bottom w:val="single" w:sz="8" w:space="0" w:color="E1E1E1" w:themeColor="accent5"/>
          <w:right w:val="single" w:sz="8" w:space="0" w:color="E1E1E1" w:themeColor="accent5"/>
        </w:tcBorders>
      </w:tcPr>
    </w:tblStylePr>
    <w:tblStylePr w:type="firstCol">
      <w:rPr>
        <w:b/>
        <w:bCs/>
      </w:rPr>
    </w:tblStylePr>
    <w:tblStylePr w:type="lastCol">
      <w:rPr>
        <w:b/>
        <w:bCs/>
      </w:rPr>
    </w:tblStylePr>
    <w:tblStylePr w:type="band1Vert">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tblStylePr w:type="band1Horz">
      <w:tblPr/>
      <w:tcPr>
        <w:tcBorders>
          <w:top w:val="single" w:sz="8" w:space="0" w:color="E1E1E1" w:themeColor="accent5"/>
          <w:left w:val="single" w:sz="8" w:space="0" w:color="E1E1E1" w:themeColor="accent5"/>
          <w:bottom w:val="single" w:sz="8" w:space="0" w:color="E1E1E1" w:themeColor="accent5"/>
          <w:right w:val="single" w:sz="8" w:space="0" w:color="E1E1E1" w:themeColor="accent5"/>
        </w:tcBorders>
      </w:tcPr>
    </w:tblStylePr>
  </w:style>
  <w:style w:type="table" w:styleId="LightList-Accent6">
    <w:name w:val="Light List Accent 6"/>
    <w:basedOn w:val="TableNormal"/>
    <w:uiPriority w:val="98"/>
    <w:semiHidden/>
    <w:unhideWhenUsed/>
    <w:rsid w:val="00A652AD"/>
    <w:pPr>
      <w:spacing w:after="0" w:line="240" w:lineRule="auto"/>
    </w:pPr>
    <w:tblPr>
      <w:tblStyleRowBandSize w:val="1"/>
      <w:tblStyleColBandSize w:val="1"/>
      <w:tblBorders>
        <w:top w:val="single" w:sz="8" w:space="0" w:color="E5FFFF" w:themeColor="accent6"/>
        <w:left w:val="single" w:sz="8" w:space="0" w:color="E5FFFF" w:themeColor="accent6"/>
        <w:bottom w:val="single" w:sz="8" w:space="0" w:color="E5FFFF" w:themeColor="accent6"/>
        <w:right w:val="single" w:sz="8" w:space="0" w:color="E5FFFF" w:themeColor="accent6"/>
      </w:tblBorders>
    </w:tblPr>
    <w:tblStylePr w:type="firstRow">
      <w:pPr>
        <w:spacing w:before="0" w:after="0" w:line="240" w:lineRule="auto"/>
      </w:pPr>
      <w:rPr>
        <w:b/>
        <w:bCs/>
        <w:color w:val="FFFFFF" w:themeColor="background1"/>
      </w:rPr>
      <w:tblPr/>
      <w:tcPr>
        <w:shd w:val="clear" w:color="auto" w:fill="E5FFFF" w:themeFill="accent6"/>
      </w:tcPr>
    </w:tblStylePr>
    <w:tblStylePr w:type="lastRow">
      <w:pPr>
        <w:spacing w:before="0" w:after="0" w:line="240" w:lineRule="auto"/>
      </w:pPr>
      <w:rPr>
        <w:b/>
        <w:bCs/>
      </w:rPr>
      <w:tblPr/>
      <w:tcPr>
        <w:tcBorders>
          <w:top w:val="double" w:sz="6" w:space="0" w:color="E5FFFF" w:themeColor="accent6"/>
          <w:left w:val="single" w:sz="8" w:space="0" w:color="E5FFFF" w:themeColor="accent6"/>
          <w:bottom w:val="single" w:sz="8" w:space="0" w:color="E5FFFF" w:themeColor="accent6"/>
          <w:right w:val="single" w:sz="8" w:space="0" w:color="E5FFFF" w:themeColor="accent6"/>
        </w:tcBorders>
      </w:tcPr>
    </w:tblStylePr>
    <w:tblStylePr w:type="firstCol">
      <w:rPr>
        <w:b/>
        <w:bCs/>
      </w:rPr>
    </w:tblStylePr>
    <w:tblStylePr w:type="lastCol">
      <w:rPr>
        <w:b/>
        <w:bCs/>
      </w:rPr>
    </w:tblStylePr>
    <w:tblStylePr w:type="band1Vert">
      <w:tblPr/>
      <w:tcPr>
        <w:tcBorders>
          <w:top w:val="single" w:sz="8" w:space="0" w:color="E5FFFF" w:themeColor="accent6"/>
          <w:left w:val="single" w:sz="8" w:space="0" w:color="E5FFFF" w:themeColor="accent6"/>
          <w:bottom w:val="single" w:sz="8" w:space="0" w:color="E5FFFF" w:themeColor="accent6"/>
          <w:right w:val="single" w:sz="8" w:space="0" w:color="E5FFFF" w:themeColor="accent6"/>
        </w:tcBorders>
      </w:tcPr>
    </w:tblStylePr>
    <w:tblStylePr w:type="band1Horz">
      <w:tblPr/>
      <w:tcPr>
        <w:tcBorders>
          <w:top w:val="single" w:sz="8" w:space="0" w:color="E5FFFF" w:themeColor="accent6"/>
          <w:left w:val="single" w:sz="8" w:space="0" w:color="E5FFFF" w:themeColor="accent6"/>
          <w:bottom w:val="single" w:sz="8" w:space="0" w:color="E5FFFF" w:themeColor="accent6"/>
          <w:right w:val="single" w:sz="8" w:space="0" w:color="E5FFFF" w:themeColor="accent6"/>
        </w:tcBorders>
      </w:tcPr>
    </w:tblStylePr>
  </w:style>
  <w:style w:type="table" w:styleId="LightShading">
    <w:name w:val="Light Shading"/>
    <w:basedOn w:val="TableNormal"/>
    <w:uiPriority w:val="98"/>
    <w:semiHidden/>
    <w:unhideWhenUsed/>
    <w:rsid w:val="00A652AD"/>
    <w:pPr>
      <w:spacing w:after="0" w:line="240" w:lineRule="auto"/>
    </w:pPr>
    <w:rPr>
      <w:color w:val="151823" w:themeColor="text1" w:themeShade="BF"/>
    </w:rPr>
    <w:tblPr>
      <w:tblStyleRowBandSize w:val="1"/>
      <w:tblStyleColBandSize w:val="1"/>
      <w:tblBorders>
        <w:top w:val="single" w:sz="8" w:space="0" w:color="1D2030" w:themeColor="text1"/>
        <w:bottom w:val="single" w:sz="8" w:space="0" w:color="1D2030" w:themeColor="text1"/>
      </w:tblBorders>
    </w:tblPr>
    <w:tblStylePr w:type="firstRow">
      <w:pPr>
        <w:spacing w:before="0" w:after="0" w:line="240" w:lineRule="auto"/>
      </w:pPr>
      <w:rPr>
        <w:b/>
        <w:bCs/>
      </w:rPr>
      <w:tblPr/>
      <w:tcPr>
        <w:tcBorders>
          <w:top w:val="single" w:sz="8" w:space="0" w:color="1D2030" w:themeColor="text1"/>
          <w:left w:val="nil"/>
          <w:bottom w:val="single" w:sz="8" w:space="0" w:color="1D2030" w:themeColor="text1"/>
          <w:right w:val="nil"/>
          <w:insideH w:val="nil"/>
          <w:insideV w:val="nil"/>
        </w:tcBorders>
      </w:tcPr>
    </w:tblStylePr>
    <w:tblStylePr w:type="lastRow">
      <w:pPr>
        <w:spacing w:before="0" w:after="0" w:line="240" w:lineRule="auto"/>
      </w:pPr>
      <w:rPr>
        <w:b/>
        <w:bCs/>
      </w:rPr>
      <w:tblPr/>
      <w:tcPr>
        <w:tcBorders>
          <w:top w:val="single" w:sz="8" w:space="0" w:color="1D2030" w:themeColor="text1"/>
          <w:left w:val="nil"/>
          <w:bottom w:val="single" w:sz="8" w:space="0" w:color="1D203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C0D6" w:themeFill="text1" w:themeFillTint="3F"/>
      </w:tcPr>
    </w:tblStylePr>
    <w:tblStylePr w:type="band1Horz">
      <w:tblPr/>
      <w:tcPr>
        <w:tcBorders>
          <w:left w:val="nil"/>
          <w:right w:val="nil"/>
          <w:insideH w:val="nil"/>
          <w:insideV w:val="nil"/>
        </w:tcBorders>
        <w:shd w:val="clear" w:color="auto" w:fill="BCC0D6" w:themeFill="text1" w:themeFillTint="3F"/>
      </w:tcPr>
    </w:tblStylePr>
  </w:style>
  <w:style w:type="table" w:styleId="LightShading-Accent1">
    <w:name w:val="Light Shading Accent 1"/>
    <w:basedOn w:val="TableNormal"/>
    <w:uiPriority w:val="98"/>
    <w:semiHidden/>
    <w:unhideWhenUsed/>
    <w:rsid w:val="00A652AD"/>
    <w:pPr>
      <w:spacing w:after="0" w:line="240" w:lineRule="auto"/>
    </w:pPr>
    <w:rPr>
      <w:color w:val="08006A" w:themeColor="accent1" w:themeShade="BF"/>
    </w:rPr>
    <w:tblPr>
      <w:tblStyleRowBandSize w:val="1"/>
      <w:tblStyleColBandSize w:val="1"/>
      <w:tblBorders>
        <w:top w:val="single" w:sz="8" w:space="0" w:color="0C008E" w:themeColor="accent1"/>
        <w:bottom w:val="single" w:sz="8" w:space="0" w:color="0C008E" w:themeColor="accent1"/>
      </w:tblBorders>
    </w:tblPr>
    <w:tblStylePr w:type="firstRow">
      <w:pPr>
        <w:spacing w:before="0" w:after="0" w:line="240" w:lineRule="auto"/>
      </w:pPr>
      <w:rPr>
        <w:b/>
        <w:bCs/>
      </w:rPr>
      <w:tblPr/>
      <w:tcPr>
        <w:tcBorders>
          <w:top w:val="single" w:sz="8" w:space="0" w:color="0C008E" w:themeColor="accent1"/>
          <w:left w:val="nil"/>
          <w:bottom w:val="single" w:sz="8" w:space="0" w:color="0C008E" w:themeColor="accent1"/>
          <w:right w:val="nil"/>
          <w:insideH w:val="nil"/>
          <w:insideV w:val="nil"/>
        </w:tcBorders>
      </w:tcPr>
    </w:tblStylePr>
    <w:tblStylePr w:type="lastRow">
      <w:pPr>
        <w:spacing w:before="0" w:after="0" w:line="240" w:lineRule="auto"/>
      </w:pPr>
      <w:rPr>
        <w:b/>
        <w:bCs/>
      </w:rPr>
      <w:tblPr/>
      <w:tcPr>
        <w:tcBorders>
          <w:top w:val="single" w:sz="8" w:space="0" w:color="0C008E" w:themeColor="accent1"/>
          <w:left w:val="nil"/>
          <w:bottom w:val="single" w:sz="8" w:space="0" w:color="0C008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A4FF" w:themeFill="accent1" w:themeFillTint="3F"/>
      </w:tcPr>
    </w:tblStylePr>
    <w:tblStylePr w:type="band1Horz">
      <w:tblPr/>
      <w:tcPr>
        <w:tcBorders>
          <w:left w:val="nil"/>
          <w:right w:val="nil"/>
          <w:insideH w:val="nil"/>
          <w:insideV w:val="nil"/>
        </w:tcBorders>
        <w:shd w:val="clear" w:color="auto" w:fill="ABA4FF" w:themeFill="accent1" w:themeFillTint="3F"/>
      </w:tcPr>
    </w:tblStylePr>
  </w:style>
  <w:style w:type="table" w:styleId="LightShading-Accent2">
    <w:name w:val="Light Shading Accent 2"/>
    <w:basedOn w:val="TableNormal"/>
    <w:uiPriority w:val="98"/>
    <w:semiHidden/>
    <w:unhideWhenUsed/>
    <w:rsid w:val="00A652AD"/>
    <w:pPr>
      <w:spacing w:after="0" w:line="240" w:lineRule="auto"/>
    </w:pPr>
    <w:rPr>
      <w:color w:val="1C2AA7" w:themeColor="accent2" w:themeShade="BF"/>
    </w:rPr>
    <w:tblPr>
      <w:tblStyleRowBandSize w:val="1"/>
      <w:tblStyleColBandSize w:val="1"/>
      <w:tblBorders>
        <w:top w:val="single" w:sz="8" w:space="0" w:color="2B3DDB" w:themeColor="accent2"/>
        <w:bottom w:val="single" w:sz="8" w:space="0" w:color="2B3DDB" w:themeColor="accent2"/>
      </w:tblBorders>
    </w:tblPr>
    <w:tblStylePr w:type="firstRow">
      <w:pPr>
        <w:spacing w:before="0" w:after="0" w:line="240" w:lineRule="auto"/>
      </w:pPr>
      <w:rPr>
        <w:b/>
        <w:bCs/>
      </w:rPr>
      <w:tblPr/>
      <w:tcPr>
        <w:tcBorders>
          <w:top w:val="single" w:sz="8" w:space="0" w:color="2B3DDB" w:themeColor="accent2"/>
          <w:left w:val="nil"/>
          <w:bottom w:val="single" w:sz="8" w:space="0" w:color="2B3DDB" w:themeColor="accent2"/>
          <w:right w:val="nil"/>
          <w:insideH w:val="nil"/>
          <w:insideV w:val="nil"/>
        </w:tcBorders>
      </w:tcPr>
    </w:tblStylePr>
    <w:tblStylePr w:type="lastRow">
      <w:pPr>
        <w:spacing w:before="0" w:after="0" w:line="240" w:lineRule="auto"/>
      </w:pPr>
      <w:rPr>
        <w:b/>
        <w:bCs/>
      </w:rPr>
      <w:tblPr/>
      <w:tcPr>
        <w:tcBorders>
          <w:top w:val="single" w:sz="8" w:space="0" w:color="2B3DDB" w:themeColor="accent2"/>
          <w:left w:val="nil"/>
          <w:bottom w:val="single" w:sz="8" w:space="0" w:color="2B3DD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EF6" w:themeFill="accent2" w:themeFillTint="3F"/>
      </w:tcPr>
    </w:tblStylePr>
    <w:tblStylePr w:type="band1Horz">
      <w:tblPr/>
      <w:tcPr>
        <w:tcBorders>
          <w:left w:val="nil"/>
          <w:right w:val="nil"/>
          <w:insideH w:val="nil"/>
          <w:insideV w:val="nil"/>
        </w:tcBorders>
        <w:shd w:val="clear" w:color="auto" w:fill="CACEF6" w:themeFill="accent2" w:themeFillTint="3F"/>
      </w:tcPr>
    </w:tblStylePr>
  </w:style>
  <w:style w:type="table" w:styleId="LightShading-Accent3">
    <w:name w:val="Light Shading Accent 3"/>
    <w:basedOn w:val="TableNormal"/>
    <w:uiPriority w:val="98"/>
    <w:semiHidden/>
    <w:unhideWhenUsed/>
    <w:rsid w:val="00A652AD"/>
    <w:pPr>
      <w:spacing w:after="0" w:line="240" w:lineRule="auto"/>
    </w:pPr>
    <w:rPr>
      <w:color w:val="A0E439" w:themeColor="accent3" w:themeShade="BF"/>
    </w:rPr>
    <w:tblPr>
      <w:tblStyleRowBandSize w:val="1"/>
      <w:tblStyleColBandSize w:val="1"/>
      <w:tblBorders>
        <w:top w:val="single" w:sz="8" w:space="0" w:color="C9F08E" w:themeColor="accent3"/>
        <w:bottom w:val="single" w:sz="8" w:space="0" w:color="C9F08E" w:themeColor="accent3"/>
      </w:tblBorders>
    </w:tblPr>
    <w:tblStylePr w:type="firstRow">
      <w:pPr>
        <w:spacing w:before="0" w:after="0" w:line="240" w:lineRule="auto"/>
      </w:pPr>
      <w:rPr>
        <w:b/>
        <w:bCs/>
      </w:rPr>
      <w:tblPr/>
      <w:tcPr>
        <w:tcBorders>
          <w:top w:val="single" w:sz="8" w:space="0" w:color="C9F08E" w:themeColor="accent3"/>
          <w:left w:val="nil"/>
          <w:bottom w:val="single" w:sz="8" w:space="0" w:color="C9F08E" w:themeColor="accent3"/>
          <w:right w:val="nil"/>
          <w:insideH w:val="nil"/>
          <w:insideV w:val="nil"/>
        </w:tcBorders>
      </w:tcPr>
    </w:tblStylePr>
    <w:tblStylePr w:type="lastRow">
      <w:pPr>
        <w:spacing w:before="0" w:after="0" w:line="240" w:lineRule="auto"/>
      </w:pPr>
      <w:rPr>
        <w:b/>
        <w:bCs/>
      </w:rPr>
      <w:tblPr/>
      <w:tcPr>
        <w:tcBorders>
          <w:top w:val="single" w:sz="8" w:space="0" w:color="C9F08E" w:themeColor="accent3"/>
          <w:left w:val="nil"/>
          <w:bottom w:val="single" w:sz="8" w:space="0" w:color="C9F0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BE3" w:themeFill="accent3" w:themeFillTint="3F"/>
      </w:tcPr>
    </w:tblStylePr>
    <w:tblStylePr w:type="band1Horz">
      <w:tblPr/>
      <w:tcPr>
        <w:tcBorders>
          <w:left w:val="nil"/>
          <w:right w:val="nil"/>
          <w:insideH w:val="nil"/>
          <w:insideV w:val="nil"/>
        </w:tcBorders>
        <w:shd w:val="clear" w:color="auto" w:fill="F1FBE3" w:themeFill="accent3" w:themeFillTint="3F"/>
      </w:tcPr>
    </w:tblStylePr>
  </w:style>
  <w:style w:type="table" w:styleId="LightShading-Accent4">
    <w:name w:val="Light Shading Accent 4"/>
    <w:basedOn w:val="TableNormal"/>
    <w:uiPriority w:val="98"/>
    <w:semiHidden/>
    <w:unhideWhenUsed/>
    <w:rsid w:val="00A652AD"/>
    <w:pPr>
      <w:spacing w:after="0" w:line="240" w:lineRule="auto"/>
    </w:pPr>
    <w:rPr>
      <w:color w:val="FFFF34" w:themeColor="accent4" w:themeShade="BF"/>
    </w:rPr>
    <w:tblPr>
      <w:tblStyleRowBandSize w:val="1"/>
      <w:tblStyleColBandSize w:val="1"/>
      <w:tblBorders>
        <w:top w:val="single" w:sz="8" w:space="0" w:color="FFFF9C" w:themeColor="accent4"/>
        <w:bottom w:val="single" w:sz="8" w:space="0" w:color="FFFF9C" w:themeColor="accent4"/>
      </w:tblBorders>
    </w:tblPr>
    <w:tblStylePr w:type="firstRow">
      <w:pPr>
        <w:spacing w:before="0" w:after="0" w:line="240" w:lineRule="auto"/>
      </w:pPr>
      <w:rPr>
        <w:b/>
        <w:bCs/>
      </w:rPr>
      <w:tblPr/>
      <w:tcPr>
        <w:tcBorders>
          <w:top w:val="single" w:sz="8" w:space="0" w:color="FFFF9C" w:themeColor="accent4"/>
          <w:left w:val="nil"/>
          <w:bottom w:val="single" w:sz="8" w:space="0" w:color="FFFF9C" w:themeColor="accent4"/>
          <w:right w:val="nil"/>
          <w:insideH w:val="nil"/>
          <w:insideV w:val="nil"/>
        </w:tcBorders>
      </w:tcPr>
    </w:tblStylePr>
    <w:tblStylePr w:type="lastRow">
      <w:pPr>
        <w:spacing w:before="0" w:after="0" w:line="240" w:lineRule="auto"/>
      </w:pPr>
      <w:rPr>
        <w:b/>
        <w:bCs/>
      </w:rPr>
      <w:tblPr/>
      <w:tcPr>
        <w:tcBorders>
          <w:top w:val="single" w:sz="8" w:space="0" w:color="FFFF9C" w:themeColor="accent4"/>
          <w:left w:val="nil"/>
          <w:bottom w:val="single" w:sz="8" w:space="0" w:color="FFFF9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E6" w:themeFill="accent4" w:themeFillTint="3F"/>
      </w:tcPr>
    </w:tblStylePr>
    <w:tblStylePr w:type="band1Horz">
      <w:tblPr/>
      <w:tcPr>
        <w:tcBorders>
          <w:left w:val="nil"/>
          <w:right w:val="nil"/>
          <w:insideH w:val="nil"/>
          <w:insideV w:val="nil"/>
        </w:tcBorders>
        <w:shd w:val="clear" w:color="auto" w:fill="FFFFE6" w:themeFill="accent4" w:themeFillTint="3F"/>
      </w:tcPr>
    </w:tblStylePr>
  </w:style>
  <w:style w:type="table" w:styleId="LightShading-Accent5">
    <w:name w:val="Light Shading Accent 5"/>
    <w:basedOn w:val="TableNormal"/>
    <w:uiPriority w:val="98"/>
    <w:semiHidden/>
    <w:unhideWhenUsed/>
    <w:rsid w:val="00A652AD"/>
    <w:pPr>
      <w:spacing w:after="0" w:line="240" w:lineRule="auto"/>
    </w:pPr>
    <w:rPr>
      <w:color w:val="A8A8A8" w:themeColor="accent5" w:themeShade="BF"/>
    </w:rPr>
    <w:tblPr>
      <w:tblStyleRowBandSize w:val="1"/>
      <w:tblStyleColBandSize w:val="1"/>
      <w:tblBorders>
        <w:top w:val="single" w:sz="8" w:space="0" w:color="E1E1E1" w:themeColor="accent5"/>
        <w:bottom w:val="single" w:sz="8" w:space="0" w:color="E1E1E1" w:themeColor="accent5"/>
      </w:tblBorders>
    </w:tblPr>
    <w:tblStylePr w:type="firstRow">
      <w:pPr>
        <w:spacing w:before="0" w:after="0" w:line="240" w:lineRule="auto"/>
      </w:pPr>
      <w:rPr>
        <w:b/>
        <w:bCs/>
      </w:rPr>
      <w:tblPr/>
      <w:tcPr>
        <w:tcBorders>
          <w:top w:val="single" w:sz="8" w:space="0" w:color="E1E1E1" w:themeColor="accent5"/>
          <w:left w:val="nil"/>
          <w:bottom w:val="single" w:sz="8" w:space="0" w:color="E1E1E1" w:themeColor="accent5"/>
          <w:right w:val="nil"/>
          <w:insideH w:val="nil"/>
          <w:insideV w:val="nil"/>
        </w:tcBorders>
      </w:tcPr>
    </w:tblStylePr>
    <w:tblStylePr w:type="lastRow">
      <w:pPr>
        <w:spacing w:before="0" w:after="0" w:line="240" w:lineRule="auto"/>
      </w:pPr>
      <w:rPr>
        <w:b/>
        <w:bCs/>
      </w:rPr>
      <w:tblPr/>
      <w:tcPr>
        <w:tcBorders>
          <w:top w:val="single" w:sz="8" w:space="0" w:color="E1E1E1" w:themeColor="accent5"/>
          <w:left w:val="nil"/>
          <w:bottom w:val="single" w:sz="8" w:space="0" w:color="E1E1E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7F7" w:themeFill="accent5" w:themeFillTint="3F"/>
      </w:tcPr>
    </w:tblStylePr>
    <w:tblStylePr w:type="band1Horz">
      <w:tblPr/>
      <w:tcPr>
        <w:tcBorders>
          <w:left w:val="nil"/>
          <w:right w:val="nil"/>
          <w:insideH w:val="nil"/>
          <w:insideV w:val="nil"/>
        </w:tcBorders>
        <w:shd w:val="clear" w:color="auto" w:fill="F7F7F7" w:themeFill="accent5" w:themeFillTint="3F"/>
      </w:tcPr>
    </w:tblStylePr>
  </w:style>
  <w:style w:type="table" w:styleId="LightShading-Accent6">
    <w:name w:val="Light Shading Accent 6"/>
    <w:basedOn w:val="TableNormal"/>
    <w:uiPriority w:val="98"/>
    <w:semiHidden/>
    <w:unhideWhenUsed/>
    <w:rsid w:val="00A652AD"/>
    <w:pPr>
      <w:spacing w:after="0" w:line="240" w:lineRule="auto"/>
    </w:pPr>
    <w:rPr>
      <w:color w:val="6BFFFF" w:themeColor="accent6" w:themeShade="BF"/>
    </w:rPr>
    <w:tblPr>
      <w:tblStyleRowBandSize w:val="1"/>
      <w:tblStyleColBandSize w:val="1"/>
      <w:tblBorders>
        <w:top w:val="single" w:sz="8" w:space="0" w:color="E5FFFF" w:themeColor="accent6"/>
        <w:bottom w:val="single" w:sz="8" w:space="0" w:color="E5FFFF" w:themeColor="accent6"/>
      </w:tblBorders>
    </w:tblPr>
    <w:tblStylePr w:type="firstRow">
      <w:pPr>
        <w:spacing w:before="0" w:after="0" w:line="240" w:lineRule="auto"/>
      </w:pPr>
      <w:rPr>
        <w:b/>
        <w:bCs/>
      </w:rPr>
      <w:tblPr/>
      <w:tcPr>
        <w:tcBorders>
          <w:top w:val="single" w:sz="8" w:space="0" w:color="E5FFFF" w:themeColor="accent6"/>
          <w:left w:val="nil"/>
          <w:bottom w:val="single" w:sz="8" w:space="0" w:color="E5FFFF" w:themeColor="accent6"/>
          <w:right w:val="nil"/>
          <w:insideH w:val="nil"/>
          <w:insideV w:val="nil"/>
        </w:tcBorders>
      </w:tcPr>
    </w:tblStylePr>
    <w:tblStylePr w:type="lastRow">
      <w:pPr>
        <w:spacing w:before="0" w:after="0" w:line="240" w:lineRule="auto"/>
      </w:pPr>
      <w:rPr>
        <w:b/>
        <w:bCs/>
      </w:rPr>
      <w:tblPr/>
      <w:tcPr>
        <w:tcBorders>
          <w:top w:val="single" w:sz="8" w:space="0" w:color="E5FFFF" w:themeColor="accent6"/>
          <w:left w:val="nil"/>
          <w:bottom w:val="single" w:sz="8" w:space="0" w:color="E5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FF" w:themeFill="accent6" w:themeFillTint="3F"/>
      </w:tcPr>
    </w:tblStylePr>
    <w:tblStylePr w:type="band1Horz">
      <w:tblPr/>
      <w:tcPr>
        <w:tcBorders>
          <w:left w:val="nil"/>
          <w:right w:val="nil"/>
          <w:insideH w:val="nil"/>
          <w:insideV w:val="nil"/>
        </w:tcBorders>
        <w:shd w:val="clear" w:color="auto" w:fill="F8FFFF" w:themeFill="accent6" w:themeFillTint="3F"/>
      </w:tcPr>
    </w:tblStylePr>
  </w:style>
  <w:style w:type="table" w:styleId="ListTable1Light">
    <w:name w:val="List Table 1 Light"/>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5E679B" w:themeColor="text1" w:themeTint="99"/>
        </w:tcBorders>
      </w:tcPr>
    </w:tblStylePr>
    <w:tblStylePr w:type="lastRow">
      <w:rPr>
        <w:b/>
        <w:bCs/>
      </w:rPr>
      <w:tblPr/>
      <w:tcPr>
        <w:tcBorders>
          <w:top w:val="single" w:sz="4" w:space="0" w:color="5E679B" w:themeColor="text1" w:themeTint="99"/>
        </w:tcBorders>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ListTable1Light-Accent1">
    <w:name w:val="List Table 1 Light Accent 1"/>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3422FF" w:themeColor="accent1" w:themeTint="99"/>
        </w:tcBorders>
      </w:tcPr>
    </w:tblStylePr>
    <w:tblStylePr w:type="lastRow">
      <w:rPr>
        <w:b/>
        <w:bCs/>
      </w:rPr>
      <w:tblPr/>
      <w:tcPr>
        <w:tcBorders>
          <w:top w:val="single" w:sz="4" w:space="0" w:color="3422FF" w:themeColor="accent1" w:themeTint="99"/>
        </w:tcBorders>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ListTable1Light-Accent2">
    <w:name w:val="List Table 1 Light Accent 2"/>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7F8AE9" w:themeColor="accent2" w:themeTint="99"/>
        </w:tcBorders>
      </w:tcPr>
    </w:tblStylePr>
    <w:tblStylePr w:type="lastRow">
      <w:rPr>
        <w:b/>
        <w:bCs/>
      </w:rPr>
      <w:tblPr/>
      <w:tcPr>
        <w:tcBorders>
          <w:top w:val="single" w:sz="4" w:space="0" w:color="7F8AE9" w:themeColor="accent2" w:themeTint="99"/>
        </w:tcBorders>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ListTable1Light-Accent3">
    <w:name w:val="List Table 1 Light Accent 3"/>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DEF6BB" w:themeColor="accent3" w:themeTint="99"/>
        </w:tcBorders>
      </w:tcPr>
    </w:tblStylePr>
    <w:tblStylePr w:type="lastRow">
      <w:rPr>
        <w:b/>
        <w:bCs/>
      </w:rPr>
      <w:tblPr/>
      <w:tcPr>
        <w:tcBorders>
          <w:top w:val="single" w:sz="4" w:space="0" w:color="DEF6BB" w:themeColor="accent3" w:themeTint="99"/>
        </w:tcBorders>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ListTable1Light-Accent4">
    <w:name w:val="List Table 1 Light Accent 4"/>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FFFFC3" w:themeColor="accent4" w:themeTint="99"/>
        </w:tcBorders>
      </w:tcPr>
    </w:tblStylePr>
    <w:tblStylePr w:type="lastRow">
      <w:rPr>
        <w:b/>
        <w:bCs/>
      </w:rPr>
      <w:tblPr/>
      <w:tcPr>
        <w:tcBorders>
          <w:top w:val="single" w:sz="4" w:space="0" w:color="FFFFC3" w:themeColor="accent4" w:themeTint="99"/>
        </w:tcBorders>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ListTable1Light-Accent5">
    <w:name w:val="List Table 1 Light Accent 5"/>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EDEDED" w:themeColor="accent5" w:themeTint="99"/>
        </w:tcBorders>
      </w:tcPr>
    </w:tblStylePr>
    <w:tblStylePr w:type="lastRow">
      <w:rPr>
        <w:b/>
        <w:bCs/>
      </w:rPr>
      <w:tblPr/>
      <w:tcPr>
        <w:tcBorders>
          <w:top w:val="sing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1Light-Accent6">
    <w:name w:val="List Table 1 Light Accent 6"/>
    <w:basedOn w:val="TableNormal"/>
    <w:uiPriority w:val="98"/>
    <w:semiHidden/>
    <w:rsid w:val="00A652AD"/>
    <w:pPr>
      <w:spacing w:after="0" w:line="240" w:lineRule="auto"/>
    </w:pPr>
    <w:tblPr>
      <w:tblStyleRowBandSize w:val="1"/>
      <w:tblStyleColBandSize w:val="1"/>
    </w:tblPr>
    <w:tblStylePr w:type="firstRow">
      <w:rPr>
        <w:b/>
        <w:bCs/>
      </w:rPr>
      <w:tblPr/>
      <w:tcPr>
        <w:tcBorders>
          <w:bottom w:val="single" w:sz="4" w:space="0" w:color="EFFFFF" w:themeColor="accent6" w:themeTint="99"/>
        </w:tcBorders>
      </w:tcPr>
    </w:tblStylePr>
    <w:tblStylePr w:type="lastRow">
      <w:rPr>
        <w:b/>
        <w:bCs/>
      </w:rPr>
      <w:tblPr/>
      <w:tcPr>
        <w:tcBorders>
          <w:top w:val="single" w:sz="4" w:space="0" w:color="EFFFFF" w:themeColor="accent6" w:themeTint="99"/>
        </w:tcBorders>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ListTable2">
    <w:name w:val="List Table 2"/>
    <w:basedOn w:val="TableNormal"/>
    <w:uiPriority w:val="98"/>
    <w:semiHidden/>
    <w:rsid w:val="00A652AD"/>
    <w:pPr>
      <w:spacing w:after="0" w:line="240" w:lineRule="auto"/>
    </w:pPr>
    <w:tblPr>
      <w:tblStyleRowBandSize w:val="1"/>
      <w:tblStyleColBandSize w:val="1"/>
      <w:tblBorders>
        <w:top w:val="single" w:sz="4" w:space="0" w:color="5E679B" w:themeColor="text1" w:themeTint="99"/>
        <w:bottom w:val="single" w:sz="4" w:space="0" w:color="5E679B" w:themeColor="text1" w:themeTint="99"/>
        <w:insideH w:val="single" w:sz="4" w:space="0" w:color="5E679B"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ListTable2-Accent1">
    <w:name w:val="List Table 2 Accent 1"/>
    <w:basedOn w:val="TableNormal"/>
    <w:uiPriority w:val="98"/>
    <w:semiHidden/>
    <w:rsid w:val="00A652AD"/>
    <w:pPr>
      <w:spacing w:after="0" w:line="240" w:lineRule="auto"/>
    </w:pPr>
    <w:tblPr>
      <w:tblStyleRowBandSize w:val="1"/>
      <w:tblStyleColBandSize w:val="1"/>
      <w:tblBorders>
        <w:top w:val="single" w:sz="4" w:space="0" w:color="3422FF" w:themeColor="accent1" w:themeTint="99"/>
        <w:bottom w:val="single" w:sz="4" w:space="0" w:color="3422FF" w:themeColor="accent1" w:themeTint="99"/>
        <w:insideH w:val="single" w:sz="4" w:space="0" w:color="342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ListTable2-Accent2">
    <w:name w:val="List Table 2 Accent 2"/>
    <w:basedOn w:val="TableNormal"/>
    <w:uiPriority w:val="98"/>
    <w:semiHidden/>
    <w:rsid w:val="00A652AD"/>
    <w:pPr>
      <w:spacing w:after="0" w:line="240" w:lineRule="auto"/>
    </w:pPr>
    <w:tblPr>
      <w:tblStyleRowBandSize w:val="1"/>
      <w:tblStyleColBandSize w:val="1"/>
      <w:tblBorders>
        <w:top w:val="single" w:sz="4" w:space="0" w:color="7F8AE9" w:themeColor="accent2" w:themeTint="99"/>
        <w:bottom w:val="single" w:sz="4" w:space="0" w:color="7F8AE9" w:themeColor="accent2" w:themeTint="99"/>
        <w:insideH w:val="single" w:sz="4" w:space="0" w:color="7F8AE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ListTable2-Accent3">
    <w:name w:val="List Table 2 Accent 3"/>
    <w:basedOn w:val="TableNormal"/>
    <w:uiPriority w:val="98"/>
    <w:semiHidden/>
    <w:rsid w:val="00A652AD"/>
    <w:pPr>
      <w:spacing w:after="0" w:line="240" w:lineRule="auto"/>
    </w:pPr>
    <w:tblPr>
      <w:tblStyleRowBandSize w:val="1"/>
      <w:tblStyleColBandSize w:val="1"/>
      <w:tblBorders>
        <w:top w:val="single" w:sz="4" w:space="0" w:color="DEF6BB" w:themeColor="accent3" w:themeTint="99"/>
        <w:bottom w:val="single" w:sz="4" w:space="0" w:color="DEF6BB" w:themeColor="accent3" w:themeTint="99"/>
        <w:insideH w:val="single" w:sz="4" w:space="0" w:color="DEF6B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ListTable2-Accent4">
    <w:name w:val="List Table 2 Accent 4"/>
    <w:basedOn w:val="TableNormal"/>
    <w:uiPriority w:val="98"/>
    <w:semiHidden/>
    <w:rsid w:val="00A652AD"/>
    <w:pPr>
      <w:spacing w:after="0" w:line="240" w:lineRule="auto"/>
    </w:pPr>
    <w:tblPr>
      <w:tblStyleRowBandSize w:val="1"/>
      <w:tblStyleColBandSize w:val="1"/>
      <w:tblBorders>
        <w:top w:val="single" w:sz="4" w:space="0" w:color="FFFFC3" w:themeColor="accent4" w:themeTint="99"/>
        <w:bottom w:val="single" w:sz="4" w:space="0" w:color="FFFFC3" w:themeColor="accent4" w:themeTint="99"/>
        <w:insideH w:val="single" w:sz="4" w:space="0" w:color="FFFF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ListTable2-Accent5">
    <w:name w:val="List Table 2 Accent 5"/>
    <w:basedOn w:val="TableNormal"/>
    <w:uiPriority w:val="98"/>
    <w:semiHidden/>
    <w:rsid w:val="00A652AD"/>
    <w:pPr>
      <w:spacing w:after="0" w:line="240" w:lineRule="auto"/>
    </w:pPr>
    <w:tblPr>
      <w:tblStyleRowBandSize w:val="1"/>
      <w:tblStyleColBandSize w:val="1"/>
      <w:tblBorders>
        <w:top w:val="single" w:sz="4" w:space="0" w:color="EDEDED" w:themeColor="accent5" w:themeTint="99"/>
        <w:bottom w:val="single" w:sz="4" w:space="0" w:color="EDEDED" w:themeColor="accent5" w:themeTint="99"/>
        <w:insideH w:val="single" w:sz="4" w:space="0" w:color="EDEDE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2-Accent6">
    <w:name w:val="List Table 2 Accent 6"/>
    <w:basedOn w:val="TableNormal"/>
    <w:uiPriority w:val="98"/>
    <w:semiHidden/>
    <w:rsid w:val="00A652AD"/>
    <w:pPr>
      <w:spacing w:after="0" w:line="240" w:lineRule="auto"/>
    </w:pPr>
    <w:tblPr>
      <w:tblStyleRowBandSize w:val="1"/>
      <w:tblStyleColBandSize w:val="1"/>
      <w:tblBorders>
        <w:top w:val="single" w:sz="4" w:space="0" w:color="EFFFFF" w:themeColor="accent6" w:themeTint="99"/>
        <w:bottom w:val="single" w:sz="4" w:space="0" w:color="EFFFFF" w:themeColor="accent6" w:themeTint="99"/>
        <w:insideH w:val="single" w:sz="4" w:space="0" w:color="E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ListTable3">
    <w:name w:val="List Table 3"/>
    <w:basedOn w:val="TableNormal"/>
    <w:uiPriority w:val="98"/>
    <w:semiHidden/>
    <w:rsid w:val="00A652AD"/>
    <w:pPr>
      <w:spacing w:after="0" w:line="240" w:lineRule="auto"/>
    </w:pPr>
    <w:tblPr>
      <w:tblStyleRowBandSize w:val="1"/>
      <w:tblStyleColBandSize w:val="1"/>
      <w:tblBorders>
        <w:top w:val="single" w:sz="4" w:space="0" w:color="1D2030" w:themeColor="text1"/>
        <w:left w:val="single" w:sz="4" w:space="0" w:color="1D2030" w:themeColor="text1"/>
        <w:bottom w:val="single" w:sz="4" w:space="0" w:color="1D2030" w:themeColor="text1"/>
        <w:right w:val="single" w:sz="4" w:space="0" w:color="1D2030" w:themeColor="text1"/>
      </w:tblBorders>
    </w:tblPr>
    <w:tblStylePr w:type="firstRow">
      <w:rPr>
        <w:b/>
        <w:bCs/>
        <w:color w:val="FFFFFF" w:themeColor="background1"/>
      </w:rPr>
      <w:tblPr/>
      <w:tcPr>
        <w:shd w:val="clear" w:color="auto" w:fill="1D2030" w:themeFill="text1"/>
      </w:tcPr>
    </w:tblStylePr>
    <w:tblStylePr w:type="lastRow">
      <w:rPr>
        <w:b/>
        <w:bCs/>
      </w:rPr>
      <w:tblPr/>
      <w:tcPr>
        <w:tcBorders>
          <w:top w:val="double" w:sz="4" w:space="0" w:color="1D203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2030" w:themeColor="text1"/>
          <w:right w:val="single" w:sz="4" w:space="0" w:color="1D2030" w:themeColor="text1"/>
        </w:tcBorders>
      </w:tcPr>
    </w:tblStylePr>
    <w:tblStylePr w:type="band1Horz">
      <w:tblPr/>
      <w:tcPr>
        <w:tcBorders>
          <w:top w:val="single" w:sz="4" w:space="0" w:color="1D2030" w:themeColor="text1"/>
          <w:bottom w:val="single" w:sz="4" w:space="0" w:color="1D203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2030" w:themeColor="text1"/>
          <w:left w:val="nil"/>
        </w:tcBorders>
      </w:tcPr>
    </w:tblStylePr>
    <w:tblStylePr w:type="swCell">
      <w:tblPr/>
      <w:tcPr>
        <w:tcBorders>
          <w:top w:val="double" w:sz="4" w:space="0" w:color="1D2030" w:themeColor="text1"/>
          <w:right w:val="nil"/>
        </w:tcBorders>
      </w:tcPr>
    </w:tblStylePr>
  </w:style>
  <w:style w:type="table" w:styleId="ListTable3-Accent1">
    <w:name w:val="List Table 3 Accent 1"/>
    <w:basedOn w:val="TableNormal"/>
    <w:uiPriority w:val="98"/>
    <w:semiHidden/>
    <w:rsid w:val="00A652AD"/>
    <w:pPr>
      <w:spacing w:after="0" w:line="240" w:lineRule="auto"/>
    </w:pPr>
    <w:tblPr>
      <w:tblStyleRowBandSize w:val="1"/>
      <w:tblStyleColBandSize w:val="1"/>
      <w:tblBorders>
        <w:top w:val="single" w:sz="4" w:space="0" w:color="0C008E" w:themeColor="accent1"/>
        <w:left w:val="single" w:sz="4" w:space="0" w:color="0C008E" w:themeColor="accent1"/>
        <w:bottom w:val="single" w:sz="4" w:space="0" w:color="0C008E" w:themeColor="accent1"/>
        <w:right w:val="single" w:sz="4" w:space="0" w:color="0C008E" w:themeColor="accent1"/>
      </w:tblBorders>
    </w:tblPr>
    <w:tblStylePr w:type="firstRow">
      <w:rPr>
        <w:b/>
        <w:bCs/>
        <w:color w:val="FFFFFF" w:themeColor="background1"/>
      </w:rPr>
      <w:tblPr/>
      <w:tcPr>
        <w:shd w:val="clear" w:color="auto" w:fill="0C008E" w:themeFill="accent1"/>
      </w:tcPr>
    </w:tblStylePr>
    <w:tblStylePr w:type="lastRow">
      <w:rPr>
        <w:b/>
        <w:bCs/>
      </w:rPr>
      <w:tblPr/>
      <w:tcPr>
        <w:tcBorders>
          <w:top w:val="double" w:sz="4" w:space="0" w:color="0C008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C008E" w:themeColor="accent1"/>
          <w:right w:val="single" w:sz="4" w:space="0" w:color="0C008E" w:themeColor="accent1"/>
        </w:tcBorders>
      </w:tcPr>
    </w:tblStylePr>
    <w:tblStylePr w:type="band1Horz">
      <w:tblPr/>
      <w:tcPr>
        <w:tcBorders>
          <w:top w:val="single" w:sz="4" w:space="0" w:color="0C008E" w:themeColor="accent1"/>
          <w:bottom w:val="single" w:sz="4" w:space="0" w:color="0C008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C008E" w:themeColor="accent1"/>
          <w:left w:val="nil"/>
        </w:tcBorders>
      </w:tcPr>
    </w:tblStylePr>
    <w:tblStylePr w:type="swCell">
      <w:tblPr/>
      <w:tcPr>
        <w:tcBorders>
          <w:top w:val="double" w:sz="4" w:space="0" w:color="0C008E" w:themeColor="accent1"/>
          <w:right w:val="nil"/>
        </w:tcBorders>
      </w:tcPr>
    </w:tblStylePr>
  </w:style>
  <w:style w:type="table" w:styleId="ListTable3-Accent2">
    <w:name w:val="List Table 3 Accent 2"/>
    <w:basedOn w:val="TableNormal"/>
    <w:uiPriority w:val="98"/>
    <w:semiHidden/>
    <w:rsid w:val="00A652AD"/>
    <w:pPr>
      <w:spacing w:after="0" w:line="240" w:lineRule="auto"/>
    </w:pPr>
    <w:tblPr>
      <w:tblStyleRowBandSize w:val="1"/>
      <w:tblStyleColBandSize w:val="1"/>
      <w:tblBorders>
        <w:top w:val="single" w:sz="4" w:space="0" w:color="2B3DDB" w:themeColor="accent2"/>
        <w:left w:val="single" w:sz="4" w:space="0" w:color="2B3DDB" w:themeColor="accent2"/>
        <w:bottom w:val="single" w:sz="4" w:space="0" w:color="2B3DDB" w:themeColor="accent2"/>
        <w:right w:val="single" w:sz="4" w:space="0" w:color="2B3DDB" w:themeColor="accent2"/>
      </w:tblBorders>
    </w:tblPr>
    <w:tblStylePr w:type="firstRow">
      <w:rPr>
        <w:b/>
        <w:bCs/>
        <w:color w:val="FFFFFF" w:themeColor="background1"/>
      </w:rPr>
      <w:tblPr/>
      <w:tcPr>
        <w:shd w:val="clear" w:color="auto" w:fill="2B3DDB" w:themeFill="accent2"/>
      </w:tcPr>
    </w:tblStylePr>
    <w:tblStylePr w:type="lastRow">
      <w:rPr>
        <w:b/>
        <w:bCs/>
      </w:rPr>
      <w:tblPr/>
      <w:tcPr>
        <w:tcBorders>
          <w:top w:val="double" w:sz="4" w:space="0" w:color="2B3DD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3DDB" w:themeColor="accent2"/>
          <w:right w:val="single" w:sz="4" w:space="0" w:color="2B3DDB" w:themeColor="accent2"/>
        </w:tcBorders>
      </w:tcPr>
    </w:tblStylePr>
    <w:tblStylePr w:type="band1Horz">
      <w:tblPr/>
      <w:tcPr>
        <w:tcBorders>
          <w:top w:val="single" w:sz="4" w:space="0" w:color="2B3DDB" w:themeColor="accent2"/>
          <w:bottom w:val="single" w:sz="4" w:space="0" w:color="2B3DD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3DDB" w:themeColor="accent2"/>
          <w:left w:val="nil"/>
        </w:tcBorders>
      </w:tcPr>
    </w:tblStylePr>
    <w:tblStylePr w:type="swCell">
      <w:tblPr/>
      <w:tcPr>
        <w:tcBorders>
          <w:top w:val="double" w:sz="4" w:space="0" w:color="2B3DDB" w:themeColor="accent2"/>
          <w:right w:val="nil"/>
        </w:tcBorders>
      </w:tcPr>
    </w:tblStylePr>
  </w:style>
  <w:style w:type="table" w:styleId="ListTable3-Accent3">
    <w:name w:val="List Table 3 Accent 3"/>
    <w:basedOn w:val="TableNormal"/>
    <w:uiPriority w:val="98"/>
    <w:semiHidden/>
    <w:rsid w:val="00A652AD"/>
    <w:pPr>
      <w:spacing w:after="0" w:line="240" w:lineRule="auto"/>
    </w:pPr>
    <w:tblPr>
      <w:tblStyleRowBandSize w:val="1"/>
      <w:tblStyleColBandSize w:val="1"/>
      <w:tblBorders>
        <w:top w:val="single" w:sz="4" w:space="0" w:color="C9F08E" w:themeColor="accent3"/>
        <w:left w:val="single" w:sz="4" w:space="0" w:color="C9F08E" w:themeColor="accent3"/>
        <w:bottom w:val="single" w:sz="4" w:space="0" w:color="C9F08E" w:themeColor="accent3"/>
        <w:right w:val="single" w:sz="4" w:space="0" w:color="C9F08E" w:themeColor="accent3"/>
      </w:tblBorders>
    </w:tblPr>
    <w:tblStylePr w:type="firstRow">
      <w:rPr>
        <w:b/>
        <w:bCs/>
        <w:color w:val="FFFFFF" w:themeColor="background1"/>
      </w:rPr>
      <w:tblPr/>
      <w:tcPr>
        <w:shd w:val="clear" w:color="auto" w:fill="C9F08E" w:themeFill="accent3"/>
      </w:tcPr>
    </w:tblStylePr>
    <w:tblStylePr w:type="lastRow">
      <w:rPr>
        <w:b/>
        <w:bCs/>
      </w:rPr>
      <w:tblPr/>
      <w:tcPr>
        <w:tcBorders>
          <w:top w:val="double" w:sz="4" w:space="0" w:color="C9F0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9F08E" w:themeColor="accent3"/>
          <w:right w:val="single" w:sz="4" w:space="0" w:color="C9F08E" w:themeColor="accent3"/>
        </w:tcBorders>
      </w:tcPr>
    </w:tblStylePr>
    <w:tblStylePr w:type="band1Horz">
      <w:tblPr/>
      <w:tcPr>
        <w:tcBorders>
          <w:top w:val="single" w:sz="4" w:space="0" w:color="C9F08E" w:themeColor="accent3"/>
          <w:bottom w:val="single" w:sz="4" w:space="0" w:color="C9F0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9F08E" w:themeColor="accent3"/>
          <w:left w:val="nil"/>
        </w:tcBorders>
      </w:tcPr>
    </w:tblStylePr>
    <w:tblStylePr w:type="swCell">
      <w:tblPr/>
      <w:tcPr>
        <w:tcBorders>
          <w:top w:val="double" w:sz="4" w:space="0" w:color="C9F08E" w:themeColor="accent3"/>
          <w:right w:val="nil"/>
        </w:tcBorders>
      </w:tcPr>
    </w:tblStylePr>
  </w:style>
  <w:style w:type="table" w:styleId="ListTable3-Accent4">
    <w:name w:val="List Table 3 Accent 4"/>
    <w:basedOn w:val="TableNormal"/>
    <w:uiPriority w:val="98"/>
    <w:semiHidden/>
    <w:rsid w:val="00A652AD"/>
    <w:pPr>
      <w:spacing w:after="0" w:line="240" w:lineRule="auto"/>
    </w:pPr>
    <w:tblPr>
      <w:tblStyleRowBandSize w:val="1"/>
      <w:tblStyleColBandSize w:val="1"/>
      <w:tblBorders>
        <w:top w:val="single" w:sz="4" w:space="0" w:color="FFFF9C" w:themeColor="accent4"/>
        <w:left w:val="single" w:sz="4" w:space="0" w:color="FFFF9C" w:themeColor="accent4"/>
        <w:bottom w:val="single" w:sz="4" w:space="0" w:color="FFFF9C" w:themeColor="accent4"/>
        <w:right w:val="single" w:sz="4" w:space="0" w:color="FFFF9C" w:themeColor="accent4"/>
      </w:tblBorders>
    </w:tblPr>
    <w:tblStylePr w:type="firstRow">
      <w:rPr>
        <w:b/>
        <w:bCs/>
        <w:color w:val="FFFFFF" w:themeColor="background1"/>
      </w:rPr>
      <w:tblPr/>
      <w:tcPr>
        <w:shd w:val="clear" w:color="auto" w:fill="FFFF9C" w:themeFill="accent4"/>
      </w:tcPr>
    </w:tblStylePr>
    <w:tblStylePr w:type="lastRow">
      <w:rPr>
        <w:b/>
        <w:bCs/>
      </w:rPr>
      <w:tblPr/>
      <w:tcPr>
        <w:tcBorders>
          <w:top w:val="double" w:sz="4" w:space="0" w:color="FFFF9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9C" w:themeColor="accent4"/>
          <w:right w:val="single" w:sz="4" w:space="0" w:color="FFFF9C" w:themeColor="accent4"/>
        </w:tcBorders>
      </w:tcPr>
    </w:tblStylePr>
    <w:tblStylePr w:type="band1Horz">
      <w:tblPr/>
      <w:tcPr>
        <w:tcBorders>
          <w:top w:val="single" w:sz="4" w:space="0" w:color="FFFF9C" w:themeColor="accent4"/>
          <w:bottom w:val="single" w:sz="4" w:space="0" w:color="FFFF9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9C" w:themeColor="accent4"/>
          <w:left w:val="nil"/>
        </w:tcBorders>
      </w:tcPr>
    </w:tblStylePr>
    <w:tblStylePr w:type="swCell">
      <w:tblPr/>
      <w:tcPr>
        <w:tcBorders>
          <w:top w:val="double" w:sz="4" w:space="0" w:color="FFFF9C" w:themeColor="accent4"/>
          <w:right w:val="nil"/>
        </w:tcBorders>
      </w:tcPr>
    </w:tblStylePr>
  </w:style>
  <w:style w:type="table" w:styleId="ListTable3-Accent5">
    <w:name w:val="List Table 3 Accent 5"/>
    <w:basedOn w:val="TableNormal"/>
    <w:uiPriority w:val="98"/>
    <w:semiHidden/>
    <w:rsid w:val="00A652AD"/>
    <w:pPr>
      <w:spacing w:after="0" w:line="240" w:lineRule="auto"/>
    </w:pPr>
    <w:tblPr>
      <w:tblStyleRowBandSize w:val="1"/>
      <w:tblStyleColBandSize w:val="1"/>
      <w:tblBorders>
        <w:top w:val="single" w:sz="4" w:space="0" w:color="E1E1E1" w:themeColor="accent5"/>
        <w:left w:val="single" w:sz="4" w:space="0" w:color="E1E1E1" w:themeColor="accent5"/>
        <w:bottom w:val="single" w:sz="4" w:space="0" w:color="E1E1E1" w:themeColor="accent5"/>
        <w:right w:val="single" w:sz="4" w:space="0" w:color="E1E1E1" w:themeColor="accent5"/>
      </w:tblBorders>
    </w:tblPr>
    <w:tblStylePr w:type="firstRow">
      <w:rPr>
        <w:b/>
        <w:bCs/>
        <w:color w:val="FFFFFF" w:themeColor="background1"/>
      </w:rPr>
      <w:tblPr/>
      <w:tcPr>
        <w:shd w:val="clear" w:color="auto" w:fill="E1E1E1" w:themeFill="accent5"/>
      </w:tcPr>
    </w:tblStylePr>
    <w:tblStylePr w:type="lastRow">
      <w:rPr>
        <w:b/>
        <w:bCs/>
      </w:rPr>
      <w:tblPr/>
      <w:tcPr>
        <w:tcBorders>
          <w:top w:val="double" w:sz="4" w:space="0" w:color="E1E1E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E1E1" w:themeColor="accent5"/>
          <w:right w:val="single" w:sz="4" w:space="0" w:color="E1E1E1" w:themeColor="accent5"/>
        </w:tcBorders>
      </w:tcPr>
    </w:tblStylePr>
    <w:tblStylePr w:type="band1Horz">
      <w:tblPr/>
      <w:tcPr>
        <w:tcBorders>
          <w:top w:val="single" w:sz="4" w:space="0" w:color="E1E1E1" w:themeColor="accent5"/>
          <w:bottom w:val="single" w:sz="4" w:space="0" w:color="E1E1E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E1E1" w:themeColor="accent5"/>
          <w:left w:val="nil"/>
        </w:tcBorders>
      </w:tcPr>
    </w:tblStylePr>
    <w:tblStylePr w:type="swCell">
      <w:tblPr/>
      <w:tcPr>
        <w:tcBorders>
          <w:top w:val="double" w:sz="4" w:space="0" w:color="E1E1E1" w:themeColor="accent5"/>
          <w:right w:val="nil"/>
        </w:tcBorders>
      </w:tcPr>
    </w:tblStylePr>
  </w:style>
  <w:style w:type="table" w:styleId="ListTable3-Accent6">
    <w:name w:val="List Table 3 Accent 6"/>
    <w:basedOn w:val="TableNormal"/>
    <w:uiPriority w:val="98"/>
    <w:semiHidden/>
    <w:rsid w:val="00A652AD"/>
    <w:pPr>
      <w:spacing w:after="0" w:line="240" w:lineRule="auto"/>
    </w:pPr>
    <w:tblPr>
      <w:tblStyleRowBandSize w:val="1"/>
      <w:tblStyleColBandSize w:val="1"/>
      <w:tblBorders>
        <w:top w:val="single" w:sz="4" w:space="0" w:color="E5FFFF" w:themeColor="accent6"/>
        <w:left w:val="single" w:sz="4" w:space="0" w:color="E5FFFF" w:themeColor="accent6"/>
        <w:bottom w:val="single" w:sz="4" w:space="0" w:color="E5FFFF" w:themeColor="accent6"/>
        <w:right w:val="single" w:sz="4" w:space="0" w:color="E5FFFF" w:themeColor="accent6"/>
      </w:tblBorders>
    </w:tblPr>
    <w:tblStylePr w:type="firstRow">
      <w:rPr>
        <w:b/>
        <w:bCs/>
        <w:color w:val="FFFFFF" w:themeColor="background1"/>
      </w:rPr>
      <w:tblPr/>
      <w:tcPr>
        <w:shd w:val="clear" w:color="auto" w:fill="E5FFFF" w:themeFill="accent6"/>
      </w:tcPr>
    </w:tblStylePr>
    <w:tblStylePr w:type="lastRow">
      <w:rPr>
        <w:b/>
        <w:bCs/>
      </w:rPr>
      <w:tblPr/>
      <w:tcPr>
        <w:tcBorders>
          <w:top w:val="double" w:sz="4" w:space="0" w:color="E5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FFFF" w:themeColor="accent6"/>
          <w:right w:val="single" w:sz="4" w:space="0" w:color="E5FFFF" w:themeColor="accent6"/>
        </w:tcBorders>
      </w:tcPr>
    </w:tblStylePr>
    <w:tblStylePr w:type="band1Horz">
      <w:tblPr/>
      <w:tcPr>
        <w:tcBorders>
          <w:top w:val="single" w:sz="4" w:space="0" w:color="E5FFFF" w:themeColor="accent6"/>
          <w:bottom w:val="single" w:sz="4" w:space="0" w:color="E5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FFFF" w:themeColor="accent6"/>
          <w:left w:val="nil"/>
        </w:tcBorders>
      </w:tcPr>
    </w:tblStylePr>
    <w:tblStylePr w:type="swCell">
      <w:tblPr/>
      <w:tcPr>
        <w:tcBorders>
          <w:top w:val="double" w:sz="4" w:space="0" w:color="E5FFFF" w:themeColor="accent6"/>
          <w:right w:val="nil"/>
        </w:tcBorders>
      </w:tcPr>
    </w:tblStylePr>
  </w:style>
  <w:style w:type="table" w:styleId="ListTable4">
    <w:name w:val="List Table 4"/>
    <w:basedOn w:val="TableNormal"/>
    <w:uiPriority w:val="98"/>
    <w:semiHidden/>
    <w:rsid w:val="00A652AD"/>
    <w:pPr>
      <w:spacing w:after="0" w:line="240" w:lineRule="auto"/>
    </w:pPr>
    <w:tblPr>
      <w:tblStyleRowBandSize w:val="1"/>
      <w:tblStyleColBandSize w:val="1"/>
      <w:tblBorders>
        <w:top w:val="single" w:sz="4" w:space="0" w:color="5E679B" w:themeColor="text1" w:themeTint="99"/>
        <w:left w:val="single" w:sz="4" w:space="0" w:color="5E679B" w:themeColor="text1" w:themeTint="99"/>
        <w:bottom w:val="single" w:sz="4" w:space="0" w:color="5E679B" w:themeColor="text1" w:themeTint="99"/>
        <w:right w:val="single" w:sz="4" w:space="0" w:color="5E679B" w:themeColor="text1" w:themeTint="99"/>
        <w:insideH w:val="single" w:sz="4" w:space="0" w:color="5E679B" w:themeColor="text1" w:themeTint="99"/>
      </w:tblBorders>
    </w:tblPr>
    <w:tblStylePr w:type="firstRow">
      <w:rPr>
        <w:b/>
        <w:bCs/>
        <w:color w:val="FFFFFF" w:themeColor="background1"/>
      </w:rPr>
      <w:tblPr/>
      <w:tcPr>
        <w:tcBorders>
          <w:top w:val="single" w:sz="4" w:space="0" w:color="1D2030" w:themeColor="text1"/>
          <w:left w:val="single" w:sz="4" w:space="0" w:color="1D2030" w:themeColor="text1"/>
          <w:bottom w:val="single" w:sz="4" w:space="0" w:color="1D2030" w:themeColor="text1"/>
          <w:right w:val="single" w:sz="4" w:space="0" w:color="1D2030" w:themeColor="text1"/>
          <w:insideH w:val="nil"/>
        </w:tcBorders>
        <w:shd w:val="clear" w:color="auto" w:fill="1D2030" w:themeFill="text1"/>
      </w:tcPr>
    </w:tblStylePr>
    <w:tblStylePr w:type="lastRow">
      <w:rPr>
        <w:b/>
        <w:bCs/>
      </w:rPr>
      <w:tblPr/>
      <w:tcPr>
        <w:tcBorders>
          <w:top w:val="double" w:sz="4" w:space="0" w:color="5E679B" w:themeColor="text1" w:themeTint="99"/>
        </w:tcBorders>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ListTable4-Accent1">
    <w:name w:val="List Table 4 Accent 1"/>
    <w:basedOn w:val="TableNormal"/>
    <w:uiPriority w:val="98"/>
    <w:semiHidden/>
    <w:rsid w:val="00A652AD"/>
    <w:pPr>
      <w:spacing w:after="0" w:line="240" w:lineRule="auto"/>
    </w:pPr>
    <w:tblPr>
      <w:tblStyleRowBandSize w:val="1"/>
      <w:tblStyleColBandSize w:val="1"/>
      <w:tblBorders>
        <w:top w:val="single" w:sz="4" w:space="0" w:color="3422FF" w:themeColor="accent1" w:themeTint="99"/>
        <w:left w:val="single" w:sz="4" w:space="0" w:color="3422FF" w:themeColor="accent1" w:themeTint="99"/>
        <w:bottom w:val="single" w:sz="4" w:space="0" w:color="3422FF" w:themeColor="accent1" w:themeTint="99"/>
        <w:right w:val="single" w:sz="4" w:space="0" w:color="3422FF" w:themeColor="accent1" w:themeTint="99"/>
        <w:insideH w:val="single" w:sz="4" w:space="0" w:color="3422FF" w:themeColor="accent1" w:themeTint="99"/>
      </w:tblBorders>
    </w:tblPr>
    <w:tblStylePr w:type="firstRow">
      <w:rPr>
        <w:b/>
        <w:bCs/>
        <w:color w:val="FFFFFF" w:themeColor="background1"/>
      </w:rPr>
      <w:tblPr/>
      <w:tcPr>
        <w:tcBorders>
          <w:top w:val="single" w:sz="4" w:space="0" w:color="0C008E" w:themeColor="accent1"/>
          <w:left w:val="single" w:sz="4" w:space="0" w:color="0C008E" w:themeColor="accent1"/>
          <w:bottom w:val="single" w:sz="4" w:space="0" w:color="0C008E" w:themeColor="accent1"/>
          <w:right w:val="single" w:sz="4" w:space="0" w:color="0C008E" w:themeColor="accent1"/>
          <w:insideH w:val="nil"/>
        </w:tcBorders>
        <w:shd w:val="clear" w:color="auto" w:fill="0C008E" w:themeFill="accent1"/>
      </w:tcPr>
    </w:tblStylePr>
    <w:tblStylePr w:type="lastRow">
      <w:rPr>
        <w:b/>
        <w:bCs/>
      </w:rPr>
      <w:tblPr/>
      <w:tcPr>
        <w:tcBorders>
          <w:top w:val="double" w:sz="4" w:space="0" w:color="3422FF" w:themeColor="accent1" w:themeTint="99"/>
        </w:tcBorders>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ListTable4-Accent2">
    <w:name w:val="List Table 4 Accent 2"/>
    <w:basedOn w:val="TableNormal"/>
    <w:uiPriority w:val="98"/>
    <w:semiHidden/>
    <w:rsid w:val="00A652AD"/>
    <w:pPr>
      <w:spacing w:after="0" w:line="240" w:lineRule="auto"/>
    </w:pPr>
    <w:tblPr>
      <w:tblStyleRowBandSize w:val="1"/>
      <w:tblStyleColBandSize w:val="1"/>
      <w:tblBorders>
        <w:top w:val="single" w:sz="4" w:space="0" w:color="7F8AE9" w:themeColor="accent2" w:themeTint="99"/>
        <w:left w:val="single" w:sz="4" w:space="0" w:color="7F8AE9" w:themeColor="accent2" w:themeTint="99"/>
        <w:bottom w:val="single" w:sz="4" w:space="0" w:color="7F8AE9" w:themeColor="accent2" w:themeTint="99"/>
        <w:right w:val="single" w:sz="4" w:space="0" w:color="7F8AE9" w:themeColor="accent2" w:themeTint="99"/>
        <w:insideH w:val="single" w:sz="4" w:space="0" w:color="7F8AE9" w:themeColor="accent2" w:themeTint="99"/>
      </w:tblBorders>
    </w:tblPr>
    <w:tblStylePr w:type="firstRow">
      <w:rPr>
        <w:b/>
        <w:bCs/>
        <w:color w:val="FFFFFF" w:themeColor="background1"/>
      </w:rPr>
      <w:tblPr/>
      <w:tcPr>
        <w:tcBorders>
          <w:top w:val="single" w:sz="4" w:space="0" w:color="2B3DDB" w:themeColor="accent2"/>
          <w:left w:val="single" w:sz="4" w:space="0" w:color="2B3DDB" w:themeColor="accent2"/>
          <w:bottom w:val="single" w:sz="4" w:space="0" w:color="2B3DDB" w:themeColor="accent2"/>
          <w:right w:val="single" w:sz="4" w:space="0" w:color="2B3DDB" w:themeColor="accent2"/>
          <w:insideH w:val="nil"/>
        </w:tcBorders>
        <w:shd w:val="clear" w:color="auto" w:fill="2B3DDB" w:themeFill="accent2"/>
      </w:tcPr>
    </w:tblStylePr>
    <w:tblStylePr w:type="lastRow">
      <w:rPr>
        <w:b/>
        <w:bCs/>
      </w:rPr>
      <w:tblPr/>
      <w:tcPr>
        <w:tcBorders>
          <w:top w:val="double" w:sz="4" w:space="0" w:color="7F8AE9" w:themeColor="accent2" w:themeTint="99"/>
        </w:tcBorders>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ListTable4-Accent3">
    <w:name w:val="List Table 4 Accent 3"/>
    <w:basedOn w:val="TableNormal"/>
    <w:uiPriority w:val="98"/>
    <w:semiHidden/>
    <w:rsid w:val="00A652AD"/>
    <w:pPr>
      <w:spacing w:after="0" w:line="240" w:lineRule="auto"/>
    </w:pPr>
    <w:tblPr>
      <w:tblStyleRowBandSize w:val="1"/>
      <w:tblStyleColBandSize w:val="1"/>
      <w:tblBorders>
        <w:top w:val="single" w:sz="4" w:space="0" w:color="DEF6BB" w:themeColor="accent3" w:themeTint="99"/>
        <w:left w:val="single" w:sz="4" w:space="0" w:color="DEF6BB" w:themeColor="accent3" w:themeTint="99"/>
        <w:bottom w:val="single" w:sz="4" w:space="0" w:color="DEF6BB" w:themeColor="accent3" w:themeTint="99"/>
        <w:right w:val="single" w:sz="4" w:space="0" w:color="DEF6BB" w:themeColor="accent3" w:themeTint="99"/>
        <w:insideH w:val="single" w:sz="4" w:space="0" w:color="DEF6BB" w:themeColor="accent3" w:themeTint="99"/>
      </w:tblBorders>
    </w:tblPr>
    <w:tblStylePr w:type="firstRow">
      <w:rPr>
        <w:b/>
        <w:bCs/>
        <w:color w:val="FFFFFF" w:themeColor="background1"/>
      </w:rPr>
      <w:tblPr/>
      <w:tcPr>
        <w:tcBorders>
          <w:top w:val="single" w:sz="4" w:space="0" w:color="C9F08E" w:themeColor="accent3"/>
          <w:left w:val="single" w:sz="4" w:space="0" w:color="C9F08E" w:themeColor="accent3"/>
          <w:bottom w:val="single" w:sz="4" w:space="0" w:color="C9F08E" w:themeColor="accent3"/>
          <w:right w:val="single" w:sz="4" w:space="0" w:color="C9F08E" w:themeColor="accent3"/>
          <w:insideH w:val="nil"/>
        </w:tcBorders>
        <w:shd w:val="clear" w:color="auto" w:fill="C9F08E" w:themeFill="accent3"/>
      </w:tcPr>
    </w:tblStylePr>
    <w:tblStylePr w:type="lastRow">
      <w:rPr>
        <w:b/>
        <w:bCs/>
      </w:rPr>
      <w:tblPr/>
      <w:tcPr>
        <w:tcBorders>
          <w:top w:val="double" w:sz="4" w:space="0" w:color="DEF6BB" w:themeColor="accent3" w:themeTint="99"/>
        </w:tcBorders>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ListTable4-Accent4">
    <w:name w:val="List Table 4 Accent 4"/>
    <w:basedOn w:val="TableNormal"/>
    <w:uiPriority w:val="98"/>
    <w:semiHidden/>
    <w:rsid w:val="00A652AD"/>
    <w:pPr>
      <w:spacing w:after="0" w:line="240" w:lineRule="auto"/>
    </w:pPr>
    <w:tblPr>
      <w:tblStyleRowBandSize w:val="1"/>
      <w:tblStyleColBandSize w:val="1"/>
      <w:tblBorders>
        <w:top w:val="single" w:sz="4" w:space="0" w:color="FFFFC3" w:themeColor="accent4" w:themeTint="99"/>
        <w:left w:val="single" w:sz="4" w:space="0" w:color="FFFFC3" w:themeColor="accent4" w:themeTint="99"/>
        <w:bottom w:val="single" w:sz="4" w:space="0" w:color="FFFFC3" w:themeColor="accent4" w:themeTint="99"/>
        <w:right w:val="single" w:sz="4" w:space="0" w:color="FFFFC3" w:themeColor="accent4" w:themeTint="99"/>
        <w:insideH w:val="single" w:sz="4" w:space="0" w:color="FFFFC3" w:themeColor="accent4" w:themeTint="99"/>
      </w:tblBorders>
    </w:tblPr>
    <w:tblStylePr w:type="firstRow">
      <w:rPr>
        <w:b/>
        <w:bCs/>
        <w:color w:val="FFFFFF" w:themeColor="background1"/>
      </w:rPr>
      <w:tblPr/>
      <w:tcPr>
        <w:tcBorders>
          <w:top w:val="single" w:sz="4" w:space="0" w:color="FFFF9C" w:themeColor="accent4"/>
          <w:left w:val="single" w:sz="4" w:space="0" w:color="FFFF9C" w:themeColor="accent4"/>
          <w:bottom w:val="single" w:sz="4" w:space="0" w:color="FFFF9C" w:themeColor="accent4"/>
          <w:right w:val="single" w:sz="4" w:space="0" w:color="FFFF9C" w:themeColor="accent4"/>
          <w:insideH w:val="nil"/>
        </w:tcBorders>
        <w:shd w:val="clear" w:color="auto" w:fill="FFFF9C" w:themeFill="accent4"/>
      </w:tcPr>
    </w:tblStylePr>
    <w:tblStylePr w:type="lastRow">
      <w:rPr>
        <w:b/>
        <w:bCs/>
      </w:rPr>
      <w:tblPr/>
      <w:tcPr>
        <w:tcBorders>
          <w:top w:val="double" w:sz="4" w:space="0" w:color="FFFFC3" w:themeColor="accent4" w:themeTint="99"/>
        </w:tcBorders>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ListTable4-Accent5">
    <w:name w:val="List Table 4 Accent 5"/>
    <w:basedOn w:val="TableNormal"/>
    <w:uiPriority w:val="98"/>
    <w:semiHidden/>
    <w:rsid w:val="00A652AD"/>
    <w:pPr>
      <w:spacing w:after="0" w:line="240" w:lineRule="auto"/>
    </w:pPr>
    <w:tblPr>
      <w:tblStyleRowBandSize w:val="1"/>
      <w:tblStyleColBandSize w:val="1"/>
      <w:tblBorders>
        <w:top w:val="single" w:sz="4" w:space="0" w:color="EDEDED" w:themeColor="accent5" w:themeTint="99"/>
        <w:left w:val="single" w:sz="4" w:space="0" w:color="EDEDED" w:themeColor="accent5" w:themeTint="99"/>
        <w:bottom w:val="single" w:sz="4" w:space="0" w:color="EDEDED" w:themeColor="accent5" w:themeTint="99"/>
        <w:right w:val="single" w:sz="4" w:space="0" w:color="EDEDED" w:themeColor="accent5" w:themeTint="99"/>
        <w:insideH w:val="single" w:sz="4" w:space="0" w:color="EDEDED" w:themeColor="accent5" w:themeTint="99"/>
      </w:tblBorders>
    </w:tblPr>
    <w:tblStylePr w:type="firstRow">
      <w:rPr>
        <w:b/>
        <w:bCs/>
        <w:color w:val="FFFFFF" w:themeColor="background1"/>
      </w:rPr>
      <w:tblPr/>
      <w:tcPr>
        <w:tcBorders>
          <w:top w:val="single" w:sz="4" w:space="0" w:color="E1E1E1" w:themeColor="accent5"/>
          <w:left w:val="single" w:sz="4" w:space="0" w:color="E1E1E1" w:themeColor="accent5"/>
          <w:bottom w:val="single" w:sz="4" w:space="0" w:color="E1E1E1" w:themeColor="accent5"/>
          <w:right w:val="single" w:sz="4" w:space="0" w:color="E1E1E1" w:themeColor="accent5"/>
          <w:insideH w:val="nil"/>
        </w:tcBorders>
        <w:shd w:val="clear" w:color="auto" w:fill="E1E1E1" w:themeFill="accent5"/>
      </w:tcPr>
    </w:tblStylePr>
    <w:tblStylePr w:type="lastRow">
      <w:rPr>
        <w:b/>
        <w:bCs/>
      </w:rPr>
      <w:tblPr/>
      <w:tcPr>
        <w:tcBorders>
          <w:top w:val="double" w:sz="4" w:space="0" w:color="EDEDED" w:themeColor="accent5" w:themeTint="99"/>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4-Accent6">
    <w:name w:val="List Table 4 Accent 6"/>
    <w:basedOn w:val="TableNormal"/>
    <w:uiPriority w:val="98"/>
    <w:semiHidden/>
    <w:rsid w:val="00A652AD"/>
    <w:pPr>
      <w:spacing w:after="0" w:line="240" w:lineRule="auto"/>
    </w:pPr>
    <w:tblPr>
      <w:tblStyleRowBandSize w:val="1"/>
      <w:tblStyleColBandSize w:val="1"/>
      <w:tblBorders>
        <w:top w:val="single" w:sz="4" w:space="0" w:color="EFFFFF" w:themeColor="accent6" w:themeTint="99"/>
        <w:left w:val="single" w:sz="4" w:space="0" w:color="EFFFFF" w:themeColor="accent6" w:themeTint="99"/>
        <w:bottom w:val="single" w:sz="4" w:space="0" w:color="EFFFFF" w:themeColor="accent6" w:themeTint="99"/>
        <w:right w:val="single" w:sz="4" w:space="0" w:color="EFFFFF" w:themeColor="accent6" w:themeTint="99"/>
        <w:insideH w:val="single" w:sz="4" w:space="0" w:color="EFFFFF" w:themeColor="accent6" w:themeTint="99"/>
      </w:tblBorders>
    </w:tblPr>
    <w:tblStylePr w:type="firstRow">
      <w:rPr>
        <w:b/>
        <w:bCs/>
        <w:color w:val="FFFFFF" w:themeColor="background1"/>
      </w:rPr>
      <w:tblPr/>
      <w:tcPr>
        <w:tcBorders>
          <w:top w:val="single" w:sz="4" w:space="0" w:color="E5FFFF" w:themeColor="accent6"/>
          <w:left w:val="single" w:sz="4" w:space="0" w:color="E5FFFF" w:themeColor="accent6"/>
          <w:bottom w:val="single" w:sz="4" w:space="0" w:color="E5FFFF" w:themeColor="accent6"/>
          <w:right w:val="single" w:sz="4" w:space="0" w:color="E5FFFF" w:themeColor="accent6"/>
          <w:insideH w:val="nil"/>
        </w:tcBorders>
        <w:shd w:val="clear" w:color="auto" w:fill="E5FFFF" w:themeFill="accent6"/>
      </w:tcPr>
    </w:tblStylePr>
    <w:tblStylePr w:type="lastRow">
      <w:rPr>
        <w:b/>
        <w:bCs/>
      </w:rPr>
      <w:tblPr/>
      <w:tcPr>
        <w:tcBorders>
          <w:top w:val="double" w:sz="4" w:space="0" w:color="EFFFFF" w:themeColor="accent6" w:themeTint="99"/>
        </w:tcBorders>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ListTable5Dark">
    <w:name w:val="List Table 5 Dark"/>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1D2030" w:themeColor="text1"/>
        <w:left w:val="single" w:sz="24" w:space="0" w:color="1D2030" w:themeColor="text1"/>
        <w:bottom w:val="single" w:sz="24" w:space="0" w:color="1D2030" w:themeColor="text1"/>
        <w:right w:val="single" w:sz="24" w:space="0" w:color="1D2030" w:themeColor="text1"/>
      </w:tblBorders>
    </w:tblPr>
    <w:tcPr>
      <w:shd w:val="clear" w:color="auto" w:fill="1D203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0C008E" w:themeColor="accent1"/>
        <w:left w:val="single" w:sz="24" w:space="0" w:color="0C008E" w:themeColor="accent1"/>
        <w:bottom w:val="single" w:sz="24" w:space="0" w:color="0C008E" w:themeColor="accent1"/>
        <w:right w:val="single" w:sz="24" w:space="0" w:color="0C008E" w:themeColor="accent1"/>
      </w:tblBorders>
    </w:tblPr>
    <w:tcPr>
      <w:shd w:val="clear" w:color="auto" w:fill="0C008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2B3DDB" w:themeColor="accent2"/>
        <w:left w:val="single" w:sz="24" w:space="0" w:color="2B3DDB" w:themeColor="accent2"/>
        <w:bottom w:val="single" w:sz="24" w:space="0" w:color="2B3DDB" w:themeColor="accent2"/>
        <w:right w:val="single" w:sz="24" w:space="0" w:color="2B3DDB" w:themeColor="accent2"/>
      </w:tblBorders>
    </w:tblPr>
    <w:tcPr>
      <w:shd w:val="clear" w:color="auto" w:fill="2B3DD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C9F08E" w:themeColor="accent3"/>
        <w:left w:val="single" w:sz="24" w:space="0" w:color="C9F08E" w:themeColor="accent3"/>
        <w:bottom w:val="single" w:sz="24" w:space="0" w:color="C9F08E" w:themeColor="accent3"/>
        <w:right w:val="single" w:sz="24" w:space="0" w:color="C9F08E" w:themeColor="accent3"/>
      </w:tblBorders>
    </w:tblPr>
    <w:tcPr>
      <w:shd w:val="clear" w:color="auto" w:fill="C9F0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FFFF9C" w:themeColor="accent4"/>
        <w:left w:val="single" w:sz="24" w:space="0" w:color="FFFF9C" w:themeColor="accent4"/>
        <w:bottom w:val="single" w:sz="24" w:space="0" w:color="FFFF9C" w:themeColor="accent4"/>
        <w:right w:val="single" w:sz="24" w:space="0" w:color="FFFF9C" w:themeColor="accent4"/>
      </w:tblBorders>
    </w:tblPr>
    <w:tcPr>
      <w:shd w:val="clear" w:color="auto" w:fill="FFFF9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E1E1E1" w:themeColor="accent5"/>
        <w:left w:val="single" w:sz="24" w:space="0" w:color="E1E1E1" w:themeColor="accent5"/>
        <w:bottom w:val="single" w:sz="24" w:space="0" w:color="E1E1E1" w:themeColor="accent5"/>
        <w:right w:val="single" w:sz="24" w:space="0" w:color="E1E1E1" w:themeColor="accent5"/>
      </w:tblBorders>
    </w:tblPr>
    <w:tcPr>
      <w:shd w:val="clear" w:color="auto" w:fill="E1E1E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98"/>
    <w:semiHidden/>
    <w:rsid w:val="00A652AD"/>
    <w:pPr>
      <w:spacing w:after="0" w:line="240" w:lineRule="auto"/>
    </w:pPr>
    <w:rPr>
      <w:color w:val="FFFFFF" w:themeColor="background1"/>
    </w:rPr>
    <w:tblPr>
      <w:tblStyleRowBandSize w:val="1"/>
      <w:tblStyleColBandSize w:val="1"/>
      <w:tblBorders>
        <w:top w:val="single" w:sz="24" w:space="0" w:color="E5FFFF" w:themeColor="accent6"/>
        <w:left w:val="single" w:sz="24" w:space="0" w:color="E5FFFF" w:themeColor="accent6"/>
        <w:bottom w:val="single" w:sz="24" w:space="0" w:color="E5FFFF" w:themeColor="accent6"/>
        <w:right w:val="single" w:sz="24" w:space="0" w:color="E5FFFF" w:themeColor="accent6"/>
      </w:tblBorders>
    </w:tblPr>
    <w:tcPr>
      <w:shd w:val="clear" w:color="auto" w:fill="E5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98"/>
    <w:semiHidden/>
    <w:rsid w:val="00A652AD"/>
    <w:pPr>
      <w:spacing w:after="0" w:line="240" w:lineRule="auto"/>
    </w:pPr>
    <w:rPr>
      <w:color w:val="1D2030" w:themeColor="text1"/>
    </w:rPr>
    <w:tblPr>
      <w:tblStyleRowBandSize w:val="1"/>
      <w:tblStyleColBandSize w:val="1"/>
      <w:tblBorders>
        <w:top w:val="single" w:sz="4" w:space="0" w:color="1D2030" w:themeColor="text1"/>
        <w:bottom w:val="single" w:sz="4" w:space="0" w:color="1D2030" w:themeColor="text1"/>
      </w:tblBorders>
    </w:tblPr>
    <w:tblStylePr w:type="firstRow">
      <w:rPr>
        <w:b/>
        <w:bCs/>
      </w:rPr>
      <w:tblPr/>
      <w:tcPr>
        <w:tcBorders>
          <w:bottom w:val="single" w:sz="4" w:space="0" w:color="1D2030" w:themeColor="text1"/>
        </w:tcBorders>
      </w:tcPr>
    </w:tblStylePr>
    <w:tblStylePr w:type="lastRow">
      <w:rPr>
        <w:b/>
        <w:bCs/>
      </w:rPr>
      <w:tblPr/>
      <w:tcPr>
        <w:tcBorders>
          <w:top w:val="double" w:sz="4" w:space="0" w:color="1D2030" w:themeColor="text1"/>
        </w:tcBorders>
      </w:tcPr>
    </w:tblStylePr>
    <w:tblStylePr w:type="firstCol">
      <w:rPr>
        <w:b/>
        <w:bCs/>
      </w:rPr>
    </w:tblStylePr>
    <w:tblStylePr w:type="lastCol">
      <w:rPr>
        <w:b/>
        <w:bCs/>
      </w:rPr>
    </w:tblStylePr>
    <w:tblStylePr w:type="band1Vert">
      <w:tblPr/>
      <w:tcPr>
        <w:shd w:val="clear" w:color="auto" w:fill="C8CCDE" w:themeFill="text1" w:themeFillTint="33"/>
      </w:tcPr>
    </w:tblStylePr>
    <w:tblStylePr w:type="band1Horz">
      <w:tblPr/>
      <w:tcPr>
        <w:shd w:val="clear" w:color="auto" w:fill="C8CCDE" w:themeFill="text1" w:themeFillTint="33"/>
      </w:tcPr>
    </w:tblStylePr>
  </w:style>
  <w:style w:type="table" w:styleId="ListTable6Colorful-Accent1">
    <w:name w:val="List Table 6 Colorful Accent 1"/>
    <w:basedOn w:val="TableNormal"/>
    <w:uiPriority w:val="98"/>
    <w:semiHidden/>
    <w:rsid w:val="00A652AD"/>
    <w:pPr>
      <w:spacing w:after="0" w:line="240" w:lineRule="auto"/>
    </w:pPr>
    <w:rPr>
      <w:color w:val="08006A" w:themeColor="accent1" w:themeShade="BF"/>
    </w:rPr>
    <w:tblPr>
      <w:tblStyleRowBandSize w:val="1"/>
      <w:tblStyleColBandSize w:val="1"/>
      <w:tblBorders>
        <w:top w:val="single" w:sz="4" w:space="0" w:color="0C008E" w:themeColor="accent1"/>
        <w:bottom w:val="single" w:sz="4" w:space="0" w:color="0C008E" w:themeColor="accent1"/>
      </w:tblBorders>
    </w:tblPr>
    <w:tblStylePr w:type="firstRow">
      <w:rPr>
        <w:b/>
        <w:bCs/>
      </w:rPr>
      <w:tblPr/>
      <w:tcPr>
        <w:tcBorders>
          <w:bottom w:val="single" w:sz="4" w:space="0" w:color="0C008E" w:themeColor="accent1"/>
        </w:tcBorders>
      </w:tcPr>
    </w:tblStylePr>
    <w:tblStylePr w:type="lastRow">
      <w:rPr>
        <w:b/>
        <w:bCs/>
      </w:rPr>
      <w:tblPr/>
      <w:tcPr>
        <w:tcBorders>
          <w:top w:val="double" w:sz="4" w:space="0" w:color="0C008E" w:themeColor="accent1"/>
        </w:tcBorders>
      </w:tcPr>
    </w:tblStylePr>
    <w:tblStylePr w:type="firstCol">
      <w:rPr>
        <w:b/>
        <w:bCs/>
      </w:rPr>
    </w:tblStylePr>
    <w:tblStylePr w:type="lastCol">
      <w:rPr>
        <w:b/>
        <w:bCs/>
      </w:rPr>
    </w:tblStylePr>
    <w:tblStylePr w:type="band1Vert">
      <w:tblPr/>
      <w:tcPr>
        <w:shd w:val="clear" w:color="auto" w:fill="BBB5FF" w:themeFill="accent1" w:themeFillTint="33"/>
      </w:tcPr>
    </w:tblStylePr>
    <w:tblStylePr w:type="band1Horz">
      <w:tblPr/>
      <w:tcPr>
        <w:shd w:val="clear" w:color="auto" w:fill="BBB5FF" w:themeFill="accent1" w:themeFillTint="33"/>
      </w:tcPr>
    </w:tblStylePr>
  </w:style>
  <w:style w:type="table" w:styleId="ListTable6Colorful-Accent2">
    <w:name w:val="List Table 6 Colorful Accent 2"/>
    <w:basedOn w:val="TableNormal"/>
    <w:uiPriority w:val="98"/>
    <w:semiHidden/>
    <w:rsid w:val="00A652AD"/>
    <w:pPr>
      <w:spacing w:after="0" w:line="240" w:lineRule="auto"/>
    </w:pPr>
    <w:rPr>
      <w:color w:val="1C2AA7" w:themeColor="accent2" w:themeShade="BF"/>
    </w:rPr>
    <w:tblPr>
      <w:tblStyleRowBandSize w:val="1"/>
      <w:tblStyleColBandSize w:val="1"/>
      <w:tblBorders>
        <w:top w:val="single" w:sz="4" w:space="0" w:color="2B3DDB" w:themeColor="accent2"/>
        <w:bottom w:val="single" w:sz="4" w:space="0" w:color="2B3DDB" w:themeColor="accent2"/>
      </w:tblBorders>
    </w:tblPr>
    <w:tblStylePr w:type="firstRow">
      <w:rPr>
        <w:b/>
        <w:bCs/>
      </w:rPr>
      <w:tblPr/>
      <w:tcPr>
        <w:tcBorders>
          <w:bottom w:val="single" w:sz="4" w:space="0" w:color="2B3DDB" w:themeColor="accent2"/>
        </w:tcBorders>
      </w:tcPr>
    </w:tblStylePr>
    <w:tblStylePr w:type="lastRow">
      <w:rPr>
        <w:b/>
        <w:bCs/>
      </w:rPr>
      <w:tblPr/>
      <w:tcPr>
        <w:tcBorders>
          <w:top w:val="double" w:sz="4" w:space="0" w:color="2B3DDB" w:themeColor="accent2"/>
        </w:tcBorders>
      </w:tcPr>
    </w:tblStylePr>
    <w:tblStylePr w:type="firstCol">
      <w:rPr>
        <w:b/>
        <w:bCs/>
      </w:rPr>
    </w:tblStylePr>
    <w:tblStylePr w:type="lastCol">
      <w:rPr>
        <w:b/>
        <w:bCs/>
      </w:rPr>
    </w:tblStylePr>
    <w:tblStylePr w:type="band1Vert">
      <w:tblPr/>
      <w:tcPr>
        <w:shd w:val="clear" w:color="auto" w:fill="D4D8F7" w:themeFill="accent2" w:themeFillTint="33"/>
      </w:tcPr>
    </w:tblStylePr>
    <w:tblStylePr w:type="band1Horz">
      <w:tblPr/>
      <w:tcPr>
        <w:shd w:val="clear" w:color="auto" w:fill="D4D8F7" w:themeFill="accent2" w:themeFillTint="33"/>
      </w:tcPr>
    </w:tblStylePr>
  </w:style>
  <w:style w:type="table" w:styleId="ListTable6Colorful-Accent3">
    <w:name w:val="List Table 6 Colorful Accent 3"/>
    <w:basedOn w:val="TableNormal"/>
    <w:uiPriority w:val="98"/>
    <w:semiHidden/>
    <w:rsid w:val="00A652AD"/>
    <w:pPr>
      <w:spacing w:after="0" w:line="240" w:lineRule="auto"/>
    </w:pPr>
    <w:rPr>
      <w:color w:val="A0E439" w:themeColor="accent3" w:themeShade="BF"/>
    </w:rPr>
    <w:tblPr>
      <w:tblStyleRowBandSize w:val="1"/>
      <w:tblStyleColBandSize w:val="1"/>
      <w:tblBorders>
        <w:top w:val="single" w:sz="4" w:space="0" w:color="C9F08E" w:themeColor="accent3"/>
        <w:bottom w:val="single" w:sz="4" w:space="0" w:color="C9F08E" w:themeColor="accent3"/>
      </w:tblBorders>
    </w:tblPr>
    <w:tblStylePr w:type="firstRow">
      <w:rPr>
        <w:b/>
        <w:bCs/>
      </w:rPr>
      <w:tblPr/>
      <w:tcPr>
        <w:tcBorders>
          <w:bottom w:val="single" w:sz="4" w:space="0" w:color="C9F08E" w:themeColor="accent3"/>
        </w:tcBorders>
      </w:tcPr>
    </w:tblStylePr>
    <w:tblStylePr w:type="lastRow">
      <w:rPr>
        <w:b/>
        <w:bCs/>
      </w:rPr>
      <w:tblPr/>
      <w:tcPr>
        <w:tcBorders>
          <w:top w:val="double" w:sz="4" w:space="0" w:color="C9F08E" w:themeColor="accent3"/>
        </w:tcBorders>
      </w:tcPr>
    </w:tblStylePr>
    <w:tblStylePr w:type="firstCol">
      <w:rPr>
        <w:b/>
        <w:bCs/>
      </w:rPr>
    </w:tblStylePr>
    <w:tblStylePr w:type="lastCol">
      <w:rPr>
        <w:b/>
        <w:bCs/>
      </w:rPr>
    </w:tblStylePr>
    <w:tblStylePr w:type="band1Vert">
      <w:tblPr/>
      <w:tcPr>
        <w:shd w:val="clear" w:color="auto" w:fill="F4FCE8" w:themeFill="accent3" w:themeFillTint="33"/>
      </w:tcPr>
    </w:tblStylePr>
    <w:tblStylePr w:type="band1Horz">
      <w:tblPr/>
      <w:tcPr>
        <w:shd w:val="clear" w:color="auto" w:fill="F4FCE8" w:themeFill="accent3" w:themeFillTint="33"/>
      </w:tcPr>
    </w:tblStylePr>
  </w:style>
  <w:style w:type="table" w:styleId="ListTable6Colorful-Accent4">
    <w:name w:val="List Table 6 Colorful Accent 4"/>
    <w:basedOn w:val="TableNormal"/>
    <w:uiPriority w:val="98"/>
    <w:semiHidden/>
    <w:rsid w:val="00A652AD"/>
    <w:pPr>
      <w:spacing w:after="0" w:line="240" w:lineRule="auto"/>
    </w:pPr>
    <w:rPr>
      <w:color w:val="FFFF34" w:themeColor="accent4" w:themeShade="BF"/>
    </w:rPr>
    <w:tblPr>
      <w:tblStyleRowBandSize w:val="1"/>
      <w:tblStyleColBandSize w:val="1"/>
      <w:tblBorders>
        <w:top w:val="single" w:sz="4" w:space="0" w:color="FFFF9C" w:themeColor="accent4"/>
        <w:bottom w:val="single" w:sz="4" w:space="0" w:color="FFFF9C" w:themeColor="accent4"/>
      </w:tblBorders>
    </w:tblPr>
    <w:tblStylePr w:type="firstRow">
      <w:rPr>
        <w:b/>
        <w:bCs/>
      </w:rPr>
      <w:tblPr/>
      <w:tcPr>
        <w:tcBorders>
          <w:bottom w:val="single" w:sz="4" w:space="0" w:color="FFFF9C" w:themeColor="accent4"/>
        </w:tcBorders>
      </w:tcPr>
    </w:tblStylePr>
    <w:tblStylePr w:type="lastRow">
      <w:rPr>
        <w:b/>
        <w:bCs/>
      </w:rPr>
      <w:tblPr/>
      <w:tcPr>
        <w:tcBorders>
          <w:top w:val="double" w:sz="4" w:space="0" w:color="FFFF9C" w:themeColor="accent4"/>
        </w:tcBorders>
      </w:tcPr>
    </w:tblStylePr>
    <w:tblStylePr w:type="firstCol">
      <w:rPr>
        <w:b/>
        <w:bCs/>
      </w:rPr>
    </w:tblStylePr>
    <w:tblStylePr w:type="lastCol">
      <w:rPr>
        <w:b/>
        <w:bCs/>
      </w:rPr>
    </w:tblStylePr>
    <w:tblStylePr w:type="band1Vert">
      <w:tblPr/>
      <w:tcPr>
        <w:shd w:val="clear" w:color="auto" w:fill="FFFFEB" w:themeFill="accent4" w:themeFillTint="33"/>
      </w:tcPr>
    </w:tblStylePr>
    <w:tblStylePr w:type="band1Horz">
      <w:tblPr/>
      <w:tcPr>
        <w:shd w:val="clear" w:color="auto" w:fill="FFFFEB" w:themeFill="accent4" w:themeFillTint="33"/>
      </w:tcPr>
    </w:tblStylePr>
  </w:style>
  <w:style w:type="table" w:styleId="ListTable6Colorful-Accent5">
    <w:name w:val="List Table 6 Colorful Accent 5"/>
    <w:basedOn w:val="TableNormal"/>
    <w:uiPriority w:val="98"/>
    <w:semiHidden/>
    <w:rsid w:val="00A652AD"/>
    <w:pPr>
      <w:spacing w:after="0" w:line="240" w:lineRule="auto"/>
    </w:pPr>
    <w:rPr>
      <w:color w:val="A8A8A8" w:themeColor="accent5" w:themeShade="BF"/>
    </w:rPr>
    <w:tblPr>
      <w:tblStyleRowBandSize w:val="1"/>
      <w:tblStyleColBandSize w:val="1"/>
      <w:tblBorders>
        <w:top w:val="single" w:sz="4" w:space="0" w:color="E1E1E1" w:themeColor="accent5"/>
        <w:bottom w:val="single" w:sz="4" w:space="0" w:color="E1E1E1" w:themeColor="accent5"/>
      </w:tblBorders>
    </w:tblPr>
    <w:tblStylePr w:type="firstRow">
      <w:rPr>
        <w:b/>
        <w:bCs/>
      </w:rPr>
      <w:tblPr/>
      <w:tcPr>
        <w:tcBorders>
          <w:bottom w:val="single" w:sz="4" w:space="0" w:color="E1E1E1" w:themeColor="accent5"/>
        </w:tcBorders>
      </w:tcPr>
    </w:tblStylePr>
    <w:tblStylePr w:type="lastRow">
      <w:rPr>
        <w:b/>
        <w:bCs/>
      </w:rPr>
      <w:tblPr/>
      <w:tcPr>
        <w:tcBorders>
          <w:top w:val="double" w:sz="4" w:space="0" w:color="E1E1E1" w:themeColor="accent5"/>
        </w:tcBorders>
      </w:tcPr>
    </w:tblStylePr>
    <w:tblStylePr w:type="firstCol">
      <w:rPr>
        <w:b/>
        <w:bCs/>
      </w:rPr>
    </w:tblStylePr>
    <w:tblStylePr w:type="lastCol">
      <w:rPr>
        <w:b/>
        <w:bCs/>
      </w:rPr>
    </w:tblStylePr>
    <w:tblStylePr w:type="band1Vert">
      <w:tblPr/>
      <w:tcPr>
        <w:shd w:val="clear" w:color="auto" w:fill="F9F9F9" w:themeFill="accent5" w:themeFillTint="33"/>
      </w:tcPr>
    </w:tblStylePr>
    <w:tblStylePr w:type="band1Horz">
      <w:tblPr/>
      <w:tcPr>
        <w:shd w:val="clear" w:color="auto" w:fill="F9F9F9" w:themeFill="accent5" w:themeFillTint="33"/>
      </w:tcPr>
    </w:tblStylePr>
  </w:style>
  <w:style w:type="table" w:styleId="ListTable6Colorful-Accent6">
    <w:name w:val="List Table 6 Colorful Accent 6"/>
    <w:basedOn w:val="TableNormal"/>
    <w:uiPriority w:val="98"/>
    <w:semiHidden/>
    <w:rsid w:val="00A652AD"/>
    <w:pPr>
      <w:spacing w:after="0" w:line="240" w:lineRule="auto"/>
    </w:pPr>
    <w:rPr>
      <w:color w:val="6BFFFF" w:themeColor="accent6" w:themeShade="BF"/>
    </w:rPr>
    <w:tblPr>
      <w:tblStyleRowBandSize w:val="1"/>
      <w:tblStyleColBandSize w:val="1"/>
      <w:tblBorders>
        <w:top w:val="single" w:sz="4" w:space="0" w:color="E5FFFF" w:themeColor="accent6"/>
        <w:bottom w:val="single" w:sz="4" w:space="0" w:color="E5FFFF" w:themeColor="accent6"/>
      </w:tblBorders>
    </w:tblPr>
    <w:tblStylePr w:type="firstRow">
      <w:rPr>
        <w:b/>
        <w:bCs/>
      </w:rPr>
      <w:tblPr/>
      <w:tcPr>
        <w:tcBorders>
          <w:bottom w:val="single" w:sz="4" w:space="0" w:color="E5FFFF" w:themeColor="accent6"/>
        </w:tcBorders>
      </w:tcPr>
    </w:tblStylePr>
    <w:tblStylePr w:type="lastRow">
      <w:rPr>
        <w:b/>
        <w:bCs/>
      </w:rPr>
      <w:tblPr/>
      <w:tcPr>
        <w:tcBorders>
          <w:top w:val="double" w:sz="4" w:space="0" w:color="E5FFFF" w:themeColor="accent6"/>
        </w:tcBorders>
      </w:tcPr>
    </w:tblStylePr>
    <w:tblStylePr w:type="firstCol">
      <w:rPr>
        <w:b/>
        <w:bCs/>
      </w:rPr>
    </w:tblStylePr>
    <w:tblStylePr w:type="lastCol">
      <w:rPr>
        <w:b/>
        <w:bCs/>
      </w:rPr>
    </w:tblStylePr>
    <w:tblStylePr w:type="band1Vert">
      <w:tblPr/>
      <w:tcPr>
        <w:shd w:val="clear" w:color="auto" w:fill="F9FFFF" w:themeFill="accent6" w:themeFillTint="33"/>
      </w:tcPr>
    </w:tblStylePr>
    <w:tblStylePr w:type="band1Horz">
      <w:tblPr/>
      <w:tcPr>
        <w:shd w:val="clear" w:color="auto" w:fill="F9FFFF" w:themeFill="accent6" w:themeFillTint="33"/>
      </w:tcPr>
    </w:tblStylePr>
  </w:style>
  <w:style w:type="table" w:styleId="ListTable7Colorful">
    <w:name w:val="List Table 7 Colorful"/>
    <w:basedOn w:val="TableNormal"/>
    <w:uiPriority w:val="98"/>
    <w:semiHidden/>
    <w:rsid w:val="00A652AD"/>
    <w:pPr>
      <w:spacing w:after="0" w:line="240" w:lineRule="auto"/>
    </w:pPr>
    <w:rPr>
      <w:color w:val="1D203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203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203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203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2030" w:themeColor="text1"/>
        </w:tcBorders>
        <w:shd w:val="clear" w:color="auto" w:fill="FFFFFF" w:themeFill="background1"/>
      </w:tcPr>
    </w:tblStylePr>
    <w:tblStylePr w:type="band1Vert">
      <w:tblPr/>
      <w:tcPr>
        <w:shd w:val="clear" w:color="auto" w:fill="C8CCDE" w:themeFill="text1" w:themeFillTint="33"/>
      </w:tcPr>
    </w:tblStylePr>
    <w:tblStylePr w:type="band1Horz">
      <w:tblPr/>
      <w:tcPr>
        <w:shd w:val="clear" w:color="auto" w:fill="C8CCD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98"/>
    <w:semiHidden/>
    <w:rsid w:val="00A652AD"/>
    <w:pPr>
      <w:spacing w:after="0" w:line="240" w:lineRule="auto"/>
    </w:pPr>
    <w:rPr>
      <w:color w:val="08006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C008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C008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C008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C008E" w:themeColor="accent1"/>
        </w:tcBorders>
        <w:shd w:val="clear" w:color="auto" w:fill="FFFFFF" w:themeFill="background1"/>
      </w:tcPr>
    </w:tblStylePr>
    <w:tblStylePr w:type="band1Vert">
      <w:tblPr/>
      <w:tcPr>
        <w:shd w:val="clear" w:color="auto" w:fill="BBB5FF" w:themeFill="accent1" w:themeFillTint="33"/>
      </w:tcPr>
    </w:tblStylePr>
    <w:tblStylePr w:type="band1Horz">
      <w:tblPr/>
      <w:tcPr>
        <w:shd w:val="clear" w:color="auto" w:fill="BBB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98"/>
    <w:semiHidden/>
    <w:rsid w:val="00A652AD"/>
    <w:pPr>
      <w:spacing w:after="0" w:line="240" w:lineRule="auto"/>
    </w:pPr>
    <w:rPr>
      <w:color w:val="1C2AA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3DD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3DD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3DD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3DDB" w:themeColor="accent2"/>
        </w:tcBorders>
        <w:shd w:val="clear" w:color="auto" w:fill="FFFFFF" w:themeFill="background1"/>
      </w:tcPr>
    </w:tblStylePr>
    <w:tblStylePr w:type="band1Vert">
      <w:tblPr/>
      <w:tcPr>
        <w:shd w:val="clear" w:color="auto" w:fill="D4D8F7" w:themeFill="accent2" w:themeFillTint="33"/>
      </w:tcPr>
    </w:tblStylePr>
    <w:tblStylePr w:type="band1Horz">
      <w:tblPr/>
      <w:tcPr>
        <w:shd w:val="clear" w:color="auto" w:fill="D4D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98"/>
    <w:semiHidden/>
    <w:rsid w:val="00A652AD"/>
    <w:pPr>
      <w:spacing w:after="0" w:line="240" w:lineRule="auto"/>
    </w:pPr>
    <w:rPr>
      <w:color w:val="A0E43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9F0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9F0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9F0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9F08E" w:themeColor="accent3"/>
        </w:tcBorders>
        <w:shd w:val="clear" w:color="auto" w:fill="FFFFFF" w:themeFill="background1"/>
      </w:tcPr>
    </w:tblStylePr>
    <w:tblStylePr w:type="band1Vert">
      <w:tblPr/>
      <w:tcPr>
        <w:shd w:val="clear" w:color="auto" w:fill="F4FCE8" w:themeFill="accent3" w:themeFillTint="33"/>
      </w:tcPr>
    </w:tblStylePr>
    <w:tblStylePr w:type="band1Horz">
      <w:tblPr/>
      <w:tcPr>
        <w:shd w:val="clear" w:color="auto" w:fill="F4FCE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98"/>
    <w:semiHidden/>
    <w:rsid w:val="00A652AD"/>
    <w:pPr>
      <w:spacing w:after="0" w:line="240" w:lineRule="auto"/>
    </w:pPr>
    <w:rPr>
      <w:color w:val="FFF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9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9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9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9C" w:themeColor="accent4"/>
        </w:tcBorders>
        <w:shd w:val="clear" w:color="auto" w:fill="FFFFFF" w:themeFill="background1"/>
      </w:tcPr>
    </w:tblStylePr>
    <w:tblStylePr w:type="band1Vert">
      <w:tblPr/>
      <w:tcPr>
        <w:shd w:val="clear" w:color="auto" w:fill="FFFFEB" w:themeFill="accent4" w:themeFillTint="33"/>
      </w:tcPr>
    </w:tblStylePr>
    <w:tblStylePr w:type="band1Horz">
      <w:tblPr/>
      <w:tcPr>
        <w:shd w:val="clear" w:color="auto" w:fill="FFFF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98"/>
    <w:semiHidden/>
    <w:rsid w:val="00A652AD"/>
    <w:pPr>
      <w:spacing w:after="0" w:line="240" w:lineRule="auto"/>
    </w:pPr>
    <w:rPr>
      <w:color w:val="A8A8A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E1E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E1E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E1E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E1E1" w:themeColor="accent5"/>
        </w:tcBorders>
        <w:shd w:val="clear" w:color="auto" w:fill="FFFFFF" w:themeFill="background1"/>
      </w:tcPr>
    </w:tblStylePr>
    <w:tblStylePr w:type="band1Vert">
      <w:tblPr/>
      <w:tcPr>
        <w:shd w:val="clear" w:color="auto" w:fill="F9F9F9" w:themeFill="accent5" w:themeFillTint="33"/>
      </w:tcPr>
    </w:tblStylePr>
    <w:tblStylePr w:type="band1Horz">
      <w:tblPr/>
      <w:tcPr>
        <w:shd w:val="clear" w:color="auto" w:fill="F9F9F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98"/>
    <w:semiHidden/>
    <w:rsid w:val="00A652AD"/>
    <w:pPr>
      <w:spacing w:after="0" w:line="240" w:lineRule="auto"/>
    </w:pPr>
    <w:rPr>
      <w:color w:val="6BFF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FFFF" w:themeColor="accent6"/>
        </w:tcBorders>
        <w:shd w:val="clear" w:color="auto" w:fill="FFFFFF" w:themeFill="background1"/>
      </w:tcPr>
    </w:tblStylePr>
    <w:tblStylePr w:type="band1Vert">
      <w:tblPr/>
      <w:tcPr>
        <w:shd w:val="clear" w:color="auto" w:fill="F9FFFF" w:themeFill="accent6" w:themeFillTint="33"/>
      </w:tcPr>
    </w:tblStylePr>
    <w:tblStylePr w:type="band1Horz">
      <w:tblPr/>
      <w:tcPr>
        <w:shd w:val="clear" w:color="auto" w:fill="F9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98"/>
    <w:semiHidden/>
    <w:unhideWhenUsed/>
    <w:rsid w:val="00A652AD"/>
    <w:pPr>
      <w:spacing w:after="0" w:line="240" w:lineRule="auto"/>
    </w:pPr>
    <w:tblPr>
      <w:tblStyleRowBandSize w:val="1"/>
      <w:tblStyleColBandSize w:val="1"/>
      <w:tblBorders>
        <w:top w:val="single" w:sz="8" w:space="0" w:color="464D73" w:themeColor="text1" w:themeTint="BF"/>
        <w:left w:val="single" w:sz="8" w:space="0" w:color="464D73" w:themeColor="text1" w:themeTint="BF"/>
        <w:bottom w:val="single" w:sz="8" w:space="0" w:color="464D73" w:themeColor="text1" w:themeTint="BF"/>
        <w:right w:val="single" w:sz="8" w:space="0" w:color="464D73" w:themeColor="text1" w:themeTint="BF"/>
        <w:insideH w:val="single" w:sz="8" w:space="0" w:color="464D73" w:themeColor="text1" w:themeTint="BF"/>
        <w:insideV w:val="single" w:sz="8" w:space="0" w:color="464D73" w:themeColor="text1" w:themeTint="BF"/>
      </w:tblBorders>
    </w:tblPr>
    <w:tcPr>
      <w:shd w:val="clear" w:color="auto" w:fill="BCC0D6" w:themeFill="text1" w:themeFillTint="3F"/>
    </w:tcPr>
    <w:tblStylePr w:type="firstRow">
      <w:rPr>
        <w:b/>
        <w:bCs/>
      </w:rPr>
    </w:tblStylePr>
    <w:tblStylePr w:type="lastRow">
      <w:rPr>
        <w:b/>
        <w:bCs/>
      </w:rPr>
      <w:tblPr/>
      <w:tcPr>
        <w:tcBorders>
          <w:top w:val="single" w:sz="18" w:space="0" w:color="464D73" w:themeColor="text1" w:themeTint="BF"/>
        </w:tcBorders>
      </w:tcPr>
    </w:tblStylePr>
    <w:tblStylePr w:type="firstCol">
      <w:rPr>
        <w:b/>
        <w:bCs/>
      </w:rPr>
    </w:tblStylePr>
    <w:tblStylePr w:type="lastCol">
      <w:rPr>
        <w:b/>
        <w:bCs/>
      </w:rPr>
    </w:tblStylePr>
    <w:tblStylePr w:type="band1Vert">
      <w:tblPr/>
      <w:tcPr>
        <w:shd w:val="clear" w:color="auto" w:fill="7880AD" w:themeFill="text1" w:themeFillTint="7F"/>
      </w:tcPr>
    </w:tblStylePr>
    <w:tblStylePr w:type="band1Horz">
      <w:tblPr/>
      <w:tcPr>
        <w:shd w:val="clear" w:color="auto" w:fill="7880AD" w:themeFill="text1" w:themeFillTint="7F"/>
      </w:tcPr>
    </w:tblStylePr>
  </w:style>
  <w:style w:type="table" w:styleId="MediumGrid1-Accent1">
    <w:name w:val="Medium Grid 1 Accent 1"/>
    <w:basedOn w:val="TableNormal"/>
    <w:uiPriority w:val="98"/>
    <w:semiHidden/>
    <w:unhideWhenUsed/>
    <w:rsid w:val="00A652AD"/>
    <w:pPr>
      <w:spacing w:after="0" w:line="240" w:lineRule="auto"/>
    </w:pPr>
    <w:tblPr>
      <w:tblStyleRowBandSize w:val="1"/>
      <w:tblStyleColBandSize w:val="1"/>
      <w:tblBorders>
        <w:top w:val="single" w:sz="8" w:space="0" w:color="1300EA" w:themeColor="accent1" w:themeTint="BF"/>
        <w:left w:val="single" w:sz="8" w:space="0" w:color="1300EA" w:themeColor="accent1" w:themeTint="BF"/>
        <w:bottom w:val="single" w:sz="8" w:space="0" w:color="1300EA" w:themeColor="accent1" w:themeTint="BF"/>
        <w:right w:val="single" w:sz="8" w:space="0" w:color="1300EA" w:themeColor="accent1" w:themeTint="BF"/>
        <w:insideH w:val="single" w:sz="8" w:space="0" w:color="1300EA" w:themeColor="accent1" w:themeTint="BF"/>
        <w:insideV w:val="single" w:sz="8" w:space="0" w:color="1300EA" w:themeColor="accent1" w:themeTint="BF"/>
      </w:tblBorders>
    </w:tblPr>
    <w:tcPr>
      <w:shd w:val="clear" w:color="auto" w:fill="ABA4FF" w:themeFill="accent1" w:themeFillTint="3F"/>
    </w:tcPr>
    <w:tblStylePr w:type="firstRow">
      <w:rPr>
        <w:b/>
        <w:bCs/>
      </w:rPr>
    </w:tblStylePr>
    <w:tblStylePr w:type="lastRow">
      <w:rPr>
        <w:b/>
        <w:bCs/>
      </w:rPr>
      <w:tblPr/>
      <w:tcPr>
        <w:tcBorders>
          <w:top w:val="single" w:sz="18" w:space="0" w:color="1300EA" w:themeColor="accent1" w:themeTint="BF"/>
        </w:tcBorders>
      </w:tcPr>
    </w:tblStylePr>
    <w:tblStylePr w:type="firstCol">
      <w:rPr>
        <w:b/>
        <w:bCs/>
      </w:rPr>
    </w:tblStylePr>
    <w:tblStylePr w:type="lastCol">
      <w:rPr>
        <w:b/>
        <w:bCs/>
      </w:rPr>
    </w:tblStylePr>
    <w:tblStylePr w:type="band1Vert">
      <w:tblPr/>
      <w:tcPr>
        <w:shd w:val="clear" w:color="auto" w:fill="5647FF" w:themeFill="accent1" w:themeFillTint="7F"/>
      </w:tcPr>
    </w:tblStylePr>
    <w:tblStylePr w:type="band1Horz">
      <w:tblPr/>
      <w:tcPr>
        <w:shd w:val="clear" w:color="auto" w:fill="5647FF" w:themeFill="accent1" w:themeFillTint="7F"/>
      </w:tcPr>
    </w:tblStylePr>
  </w:style>
  <w:style w:type="table" w:styleId="MediumGrid1-Accent2">
    <w:name w:val="Medium Grid 1 Accent 2"/>
    <w:basedOn w:val="TableNormal"/>
    <w:uiPriority w:val="98"/>
    <w:semiHidden/>
    <w:unhideWhenUsed/>
    <w:rsid w:val="00A652AD"/>
    <w:pPr>
      <w:spacing w:after="0" w:line="240" w:lineRule="auto"/>
    </w:pPr>
    <w:tblPr>
      <w:tblStyleRowBandSize w:val="1"/>
      <w:tblStyleColBandSize w:val="1"/>
      <w:tblBorders>
        <w:top w:val="single" w:sz="8" w:space="0" w:color="606DE4" w:themeColor="accent2" w:themeTint="BF"/>
        <w:left w:val="single" w:sz="8" w:space="0" w:color="606DE4" w:themeColor="accent2" w:themeTint="BF"/>
        <w:bottom w:val="single" w:sz="8" w:space="0" w:color="606DE4" w:themeColor="accent2" w:themeTint="BF"/>
        <w:right w:val="single" w:sz="8" w:space="0" w:color="606DE4" w:themeColor="accent2" w:themeTint="BF"/>
        <w:insideH w:val="single" w:sz="8" w:space="0" w:color="606DE4" w:themeColor="accent2" w:themeTint="BF"/>
        <w:insideV w:val="single" w:sz="8" w:space="0" w:color="606DE4" w:themeColor="accent2" w:themeTint="BF"/>
      </w:tblBorders>
    </w:tblPr>
    <w:tcPr>
      <w:shd w:val="clear" w:color="auto" w:fill="CACEF6" w:themeFill="accent2" w:themeFillTint="3F"/>
    </w:tcPr>
    <w:tblStylePr w:type="firstRow">
      <w:rPr>
        <w:b/>
        <w:bCs/>
      </w:rPr>
    </w:tblStylePr>
    <w:tblStylePr w:type="lastRow">
      <w:rPr>
        <w:b/>
        <w:bCs/>
      </w:rPr>
      <w:tblPr/>
      <w:tcPr>
        <w:tcBorders>
          <w:top w:val="single" w:sz="18" w:space="0" w:color="606DE4" w:themeColor="accent2" w:themeTint="BF"/>
        </w:tcBorders>
      </w:tcPr>
    </w:tblStylePr>
    <w:tblStylePr w:type="firstCol">
      <w:rPr>
        <w:b/>
        <w:bCs/>
      </w:rPr>
    </w:tblStylePr>
    <w:tblStylePr w:type="lastCol">
      <w:rPr>
        <w:b/>
        <w:bCs/>
      </w:rPr>
    </w:tblStylePr>
    <w:tblStylePr w:type="band1Vert">
      <w:tblPr/>
      <w:tcPr>
        <w:shd w:val="clear" w:color="auto" w:fill="959EED" w:themeFill="accent2" w:themeFillTint="7F"/>
      </w:tcPr>
    </w:tblStylePr>
    <w:tblStylePr w:type="band1Horz">
      <w:tblPr/>
      <w:tcPr>
        <w:shd w:val="clear" w:color="auto" w:fill="959EED" w:themeFill="accent2" w:themeFillTint="7F"/>
      </w:tcPr>
    </w:tblStylePr>
  </w:style>
  <w:style w:type="table" w:styleId="MediumGrid1-Accent3">
    <w:name w:val="Medium Grid 1 Accent 3"/>
    <w:basedOn w:val="TableNormal"/>
    <w:uiPriority w:val="98"/>
    <w:semiHidden/>
    <w:unhideWhenUsed/>
    <w:rsid w:val="00A652AD"/>
    <w:pPr>
      <w:spacing w:after="0" w:line="240" w:lineRule="auto"/>
    </w:pPr>
    <w:tblPr>
      <w:tblStyleRowBandSize w:val="1"/>
      <w:tblStyleColBandSize w:val="1"/>
      <w:tblBorders>
        <w:top w:val="single" w:sz="8" w:space="0" w:color="D6F3AA" w:themeColor="accent3" w:themeTint="BF"/>
        <w:left w:val="single" w:sz="8" w:space="0" w:color="D6F3AA" w:themeColor="accent3" w:themeTint="BF"/>
        <w:bottom w:val="single" w:sz="8" w:space="0" w:color="D6F3AA" w:themeColor="accent3" w:themeTint="BF"/>
        <w:right w:val="single" w:sz="8" w:space="0" w:color="D6F3AA" w:themeColor="accent3" w:themeTint="BF"/>
        <w:insideH w:val="single" w:sz="8" w:space="0" w:color="D6F3AA" w:themeColor="accent3" w:themeTint="BF"/>
        <w:insideV w:val="single" w:sz="8" w:space="0" w:color="D6F3AA" w:themeColor="accent3" w:themeTint="BF"/>
      </w:tblBorders>
    </w:tblPr>
    <w:tcPr>
      <w:shd w:val="clear" w:color="auto" w:fill="F1FBE3" w:themeFill="accent3" w:themeFillTint="3F"/>
    </w:tcPr>
    <w:tblStylePr w:type="firstRow">
      <w:rPr>
        <w:b/>
        <w:bCs/>
      </w:rPr>
    </w:tblStylePr>
    <w:tblStylePr w:type="lastRow">
      <w:rPr>
        <w:b/>
        <w:bCs/>
      </w:rPr>
      <w:tblPr/>
      <w:tcPr>
        <w:tcBorders>
          <w:top w:val="single" w:sz="18" w:space="0" w:color="D6F3AA" w:themeColor="accent3" w:themeTint="BF"/>
        </w:tcBorders>
      </w:tcPr>
    </w:tblStylePr>
    <w:tblStylePr w:type="firstCol">
      <w:rPr>
        <w:b/>
        <w:bCs/>
      </w:rPr>
    </w:tblStylePr>
    <w:tblStylePr w:type="lastCol">
      <w:rPr>
        <w:b/>
        <w:bCs/>
      </w:rPr>
    </w:tblStylePr>
    <w:tblStylePr w:type="band1Vert">
      <w:tblPr/>
      <w:tcPr>
        <w:shd w:val="clear" w:color="auto" w:fill="E3F7C6" w:themeFill="accent3" w:themeFillTint="7F"/>
      </w:tcPr>
    </w:tblStylePr>
    <w:tblStylePr w:type="band1Horz">
      <w:tblPr/>
      <w:tcPr>
        <w:shd w:val="clear" w:color="auto" w:fill="E3F7C6" w:themeFill="accent3" w:themeFillTint="7F"/>
      </w:tcPr>
    </w:tblStylePr>
  </w:style>
  <w:style w:type="table" w:styleId="MediumGrid1-Accent4">
    <w:name w:val="Medium Grid 1 Accent 4"/>
    <w:basedOn w:val="TableNormal"/>
    <w:uiPriority w:val="98"/>
    <w:semiHidden/>
    <w:unhideWhenUsed/>
    <w:rsid w:val="00A652AD"/>
    <w:pPr>
      <w:spacing w:after="0" w:line="240" w:lineRule="auto"/>
    </w:pPr>
    <w:tblPr>
      <w:tblStyleRowBandSize w:val="1"/>
      <w:tblStyleColBandSize w:val="1"/>
      <w:tblBorders>
        <w:top w:val="single" w:sz="8" w:space="0" w:color="FFFFB4" w:themeColor="accent4" w:themeTint="BF"/>
        <w:left w:val="single" w:sz="8" w:space="0" w:color="FFFFB4" w:themeColor="accent4" w:themeTint="BF"/>
        <w:bottom w:val="single" w:sz="8" w:space="0" w:color="FFFFB4" w:themeColor="accent4" w:themeTint="BF"/>
        <w:right w:val="single" w:sz="8" w:space="0" w:color="FFFFB4" w:themeColor="accent4" w:themeTint="BF"/>
        <w:insideH w:val="single" w:sz="8" w:space="0" w:color="FFFFB4" w:themeColor="accent4" w:themeTint="BF"/>
        <w:insideV w:val="single" w:sz="8" w:space="0" w:color="FFFFB4" w:themeColor="accent4" w:themeTint="BF"/>
      </w:tblBorders>
    </w:tblPr>
    <w:tcPr>
      <w:shd w:val="clear" w:color="auto" w:fill="FFFFE6" w:themeFill="accent4" w:themeFillTint="3F"/>
    </w:tcPr>
    <w:tblStylePr w:type="firstRow">
      <w:rPr>
        <w:b/>
        <w:bCs/>
      </w:rPr>
    </w:tblStylePr>
    <w:tblStylePr w:type="lastRow">
      <w:rPr>
        <w:b/>
        <w:bCs/>
      </w:rPr>
      <w:tblPr/>
      <w:tcPr>
        <w:tcBorders>
          <w:top w:val="single" w:sz="18" w:space="0" w:color="FFFFB4" w:themeColor="accent4" w:themeTint="BF"/>
        </w:tcBorders>
      </w:tcPr>
    </w:tblStylePr>
    <w:tblStylePr w:type="firstCol">
      <w:rPr>
        <w:b/>
        <w:bCs/>
      </w:rPr>
    </w:tblStylePr>
    <w:tblStylePr w:type="lastCol">
      <w:rPr>
        <w:b/>
        <w:bCs/>
      </w:rPr>
    </w:tblStylePr>
    <w:tblStylePr w:type="band1Vert">
      <w:tblPr/>
      <w:tcPr>
        <w:shd w:val="clear" w:color="auto" w:fill="FFFFCD" w:themeFill="accent4" w:themeFillTint="7F"/>
      </w:tcPr>
    </w:tblStylePr>
    <w:tblStylePr w:type="band1Horz">
      <w:tblPr/>
      <w:tcPr>
        <w:shd w:val="clear" w:color="auto" w:fill="FFFFCD" w:themeFill="accent4" w:themeFillTint="7F"/>
      </w:tcPr>
    </w:tblStylePr>
  </w:style>
  <w:style w:type="table" w:styleId="MediumGrid1-Accent5">
    <w:name w:val="Medium Grid 1 Accent 5"/>
    <w:basedOn w:val="TableNormal"/>
    <w:uiPriority w:val="98"/>
    <w:semiHidden/>
    <w:unhideWhenUsed/>
    <w:rsid w:val="00A652AD"/>
    <w:pPr>
      <w:spacing w:after="0" w:line="240" w:lineRule="auto"/>
    </w:pPr>
    <w:tblPr>
      <w:tblStyleRowBandSize w:val="1"/>
      <w:tblStyleColBandSize w:val="1"/>
      <w:tbl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single" w:sz="8" w:space="0" w:color="E8E8E8" w:themeColor="accent5" w:themeTint="BF"/>
        <w:insideV w:val="single" w:sz="8" w:space="0" w:color="E8E8E8" w:themeColor="accent5" w:themeTint="BF"/>
      </w:tblBorders>
    </w:tblPr>
    <w:tcPr>
      <w:shd w:val="clear" w:color="auto" w:fill="F7F7F7" w:themeFill="accent5" w:themeFillTint="3F"/>
    </w:tcPr>
    <w:tblStylePr w:type="firstRow">
      <w:rPr>
        <w:b/>
        <w:bCs/>
      </w:rPr>
    </w:tblStylePr>
    <w:tblStylePr w:type="lastRow">
      <w:rPr>
        <w:b/>
        <w:bCs/>
      </w:rPr>
      <w:tblPr/>
      <w:tcPr>
        <w:tcBorders>
          <w:top w:val="single" w:sz="18" w:space="0" w:color="E8E8E8" w:themeColor="accent5" w:themeTint="BF"/>
        </w:tcBorders>
      </w:tcPr>
    </w:tblStylePr>
    <w:tblStylePr w:type="firstCol">
      <w:rPr>
        <w:b/>
        <w:bCs/>
      </w:rPr>
    </w:tblStylePr>
    <w:tblStylePr w:type="lastCol">
      <w:rPr>
        <w:b/>
        <w:bCs/>
      </w:rPr>
    </w:tblStylePr>
    <w:tblStylePr w:type="band1Vert">
      <w:tblPr/>
      <w:tcPr>
        <w:shd w:val="clear" w:color="auto" w:fill="F0F0F0" w:themeFill="accent5" w:themeFillTint="7F"/>
      </w:tcPr>
    </w:tblStylePr>
    <w:tblStylePr w:type="band1Horz">
      <w:tblPr/>
      <w:tcPr>
        <w:shd w:val="clear" w:color="auto" w:fill="F0F0F0" w:themeFill="accent5" w:themeFillTint="7F"/>
      </w:tcPr>
    </w:tblStylePr>
  </w:style>
  <w:style w:type="table" w:styleId="MediumGrid1-Accent6">
    <w:name w:val="Medium Grid 1 Accent 6"/>
    <w:basedOn w:val="TableNormal"/>
    <w:uiPriority w:val="98"/>
    <w:semiHidden/>
    <w:unhideWhenUsed/>
    <w:rsid w:val="00A652AD"/>
    <w:pPr>
      <w:spacing w:after="0" w:line="240" w:lineRule="auto"/>
    </w:pPr>
    <w:tblPr>
      <w:tblStyleRowBandSize w:val="1"/>
      <w:tblStyleColBandSize w:val="1"/>
      <w:tblBorders>
        <w:top w:val="single" w:sz="8" w:space="0" w:color="EBFFFF" w:themeColor="accent6" w:themeTint="BF"/>
        <w:left w:val="single" w:sz="8" w:space="0" w:color="EBFFFF" w:themeColor="accent6" w:themeTint="BF"/>
        <w:bottom w:val="single" w:sz="8" w:space="0" w:color="EBFFFF" w:themeColor="accent6" w:themeTint="BF"/>
        <w:right w:val="single" w:sz="8" w:space="0" w:color="EBFFFF" w:themeColor="accent6" w:themeTint="BF"/>
        <w:insideH w:val="single" w:sz="8" w:space="0" w:color="EBFFFF" w:themeColor="accent6" w:themeTint="BF"/>
        <w:insideV w:val="single" w:sz="8" w:space="0" w:color="EBFFFF" w:themeColor="accent6" w:themeTint="BF"/>
      </w:tblBorders>
    </w:tblPr>
    <w:tcPr>
      <w:shd w:val="clear" w:color="auto" w:fill="F8FFFF" w:themeFill="accent6" w:themeFillTint="3F"/>
    </w:tcPr>
    <w:tblStylePr w:type="firstRow">
      <w:rPr>
        <w:b/>
        <w:bCs/>
      </w:rPr>
    </w:tblStylePr>
    <w:tblStylePr w:type="lastRow">
      <w:rPr>
        <w:b/>
        <w:bCs/>
      </w:rPr>
      <w:tblPr/>
      <w:tcPr>
        <w:tcBorders>
          <w:top w:val="single" w:sz="18" w:space="0" w:color="EBFFFF" w:themeColor="accent6" w:themeTint="BF"/>
        </w:tcBorders>
      </w:tcPr>
    </w:tblStylePr>
    <w:tblStylePr w:type="firstCol">
      <w:rPr>
        <w:b/>
        <w:bCs/>
      </w:rPr>
    </w:tblStylePr>
    <w:tblStylePr w:type="lastCol">
      <w:rPr>
        <w:b/>
        <w:bCs/>
      </w:rPr>
    </w:tblStylePr>
    <w:tblStylePr w:type="band1Vert">
      <w:tblPr/>
      <w:tcPr>
        <w:shd w:val="clear" w:color="auto" w:fill="F2FFFF" w:themeFill="accent6" w:themeFillTint="7F"/>
      </w:tcPr>
    </w:tblStylePr>
    <w:tblStylePr w:type="band1Horz">
      <w:tblPr/>
      <w:tcPr>
        <w:shd w:val="clear" w:color="auto" w:fill="F2FFFF" w:themeFill="accent6" w:themeFillTint="7F"/>
      </w:tcPr>
    </w:tblStylePr>
  </w:style>
  <w:style w:type="table" w:styleId="MediumGrid2">
    <w:name w:val="Medium Grid 2"/>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1D2030" w:themeColor="text1"/>
        <w:left w:val="single" w:sz="8" w:space="0" w:color="1D2030" w:themeColor="text1"/>
        <w:bottom w:val="single" w:sz="8" w:space="0" w:color="1D2030" w:themeColor="text1"/>
        <w:right w:val="single" w:sz="8" w:space="0" w:color="1D2030" w:themeColor="text1"/>
        <w:insideH w:val="single" w:sz="8" w:space="0" w:color="1D2030" w:themeColor="text1"/>
        <w:insideV w:val="single" w:sz="8" w:space="0" w:color="1D2030" w:themeColor="text1"/>
      </w:tblBorders>
    </w:tblPr>
    <w:tcPr>
      <w:shd w:val="clear" w:color="auto" w:fill="BCC0D6" w:themeFill="text1" w:themeFillTint="3F"/>
    </w:tcPr>
    <w:tblStylePr w:type="firstRow">
      <w:rPr>
        <w:b/>
        <w:bCs/>
        <w:color w:val="1D2030" w:themeColor="text1"/>
      </w:rPr>
      <w:tblPr/>
      <w:tcPr>
        <w:shd w:val="clear" w:color="auto" w:fill="E4E6EF" w:themeFill="text1"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C8CCDE" w:themeFill="text1" w:themeFillTint="33"/>
      </w:tcPr>
    </w:tblStylePr>
    <w:tblStylePr w:type="band1Vert">
      <w:tblPr/>
      <w:tcPr>
        <w:shd w:val="clear" w:color="auto" w:fill="7880AD" w:themeFill="text1" w:themeFillTint="7F"/>
      </w:tcPr>
    </w:tblStylePr>
    <w:tblStylePr w:type="band1Horz">
      <w:tblPr/>
      <w:tcPr>
        <w:tcBorders>
          <w:insideH w:val="single" w:sz="6" w:space="0" w:color="1D2030" w:themeColor="text1"/>
          <w:insideV w:val="single" w:sz="6" w:space="0" w:color="1D2030" w:themeColor="text1"/>
        </w:tcBorders>
        <w:shd w:val="clear" w:color="auto" w:fill="7880AD"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0C008E" w:themeColor="accent1"/>
        <w:left w:val="single" w:sz="8" w:space="0" w:color="0C008E" w:themeColor="accent1"/>
        <w:bottom w:val="single" w:sz="8" w:space="0" w:color="0C008E" w:themeColor="accent1"/>
        <w:right w:val="single" w:sz="8" w:space="0" w:color="0C008E" w:themeColor="accent1"/>
        <w:insideH w:val="single" w:sz="8" w:space="0" w:color="0C008E" w:themeColor="accent1"/>
        <w:insideV w:val="single" w:sz="8" w:space="0" w:color="0C008E" w:themeColor="accent1"/>
      </w:tblBorders>
    </w:tblPr>
    <w:tcPr>
      <w:shd w:val="clear" w:color="auto" w:fill="ABA4FF" w:themeFill="accent1" w:themeFillTint="3F"/>
    </w:tcPr>
    <w:tblStylePr w:type="firstRow">
      <w:rPr>
        <w:b/>
        <w:bCs/>
        <w:color w:val="1D2030" w:themeColor="text1"/>
      </w:rPr>
      <w:tblPr/>
      <w:tcPr>
        <w:shd w:val="clear" w:color="auto" w:fill="DDDAFF" w:themeFill="accent1"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BBB5FF" w:themeFill="accent1" w:themeFillTint="33"/>
      </w:tcPr>
    </w:tblStylePr>
    <w:tblStylePr w:type="band1Vert">
      <w:tblPr/>
      <w:tcPr>
        <w:shd w:val="clear" w:color="auto" w:fill="5647FF" w:themeFill="accent1" w:themeFillTint="7F"/>
      </w:tcPr>
    </w:tblStylePr>
    <w:tblStylePr w:type="band1Horz">
      <w:tblPr/>
      <w:tcPr>
        <w:tcBorders>
          <w:insideH w:val="single" w:sz="6" w:space="0" w:color="0C008E" w:themeColor="accent1"/>
          <w:insideV w:val="single" w:sz="6" w:space="0" w:color="0C008E" w:themeColor="accent1"/>
        </w:tcBorders>
        <w:shd w:val="clear" w:color="auto" w:fill="5647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2B3DDB" w:themeColor="accent2"/>
        <w:left w:val="single" w:sz="8" w:space="0" w:color="2B3DDB" w:themeColor="accent2"/>
        <w:bottom w:val="single" w:sz="8" w:space="0" w:color="2B3DDB" w:themeColor="accent2"/>
        <w:right w:val="single" w:sz="8" w:space="0" w:color="2B3DDB" w:themeColor="accent2"/>
        <w:insideH w:val="single" w:sz="8" w:space="0" w:color="2B3DDB" w:themeColor="accent2"/>
        <w:insideV w:val="single" w:sz="8" w:space="0" w:color="2B3DDB" w:themeColor="accent2"/>
      </w:tblBorders>
    </w:tblPr>
    <w:tcPr>
      <w:shd w:val="clear" w:color="auto" w:fill="CACEF6" w:themeFill="accent2" w:themeFillTint="3F"/>
    </w:tcPr>
    <w:tblStylePr w:type="firstRow">
      <w:rPr>
        <w:b/>
        <w:bCs/>
        <w:color w:val="1D2030" w:themeColor="text1"/>
      </w:rPr>
      <w:tblPr/>
      <w:tcPr>
        <w:shd w:val="clear" w:color="auto" w:fill="EAEBFB" w:themeFill="accent2"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D4D8F7" w:themeFill="accent2" w:themeFillTint="33"/>
      </w:tcPr>
    </w:tblStylePr>
    <w:tblStylePr w:type="band1Vert">
      <w:tblPr/>
      <w:tcPr>
        <w:shd w:val="clear" w:color="auto" w:fill="959EED" w:themeFill="accent2" w:themeFillTint="7F"/>
      </w:tcPr>
    </w:tblStylePr>
    <w:tblStylePr w:type="band1Horz">
      <w:tblPr/>
      <w:tcPr>
        <w:tcBorders>
          <w:insideH w:val="single" w:sz="6" w:space="0" w:color="2B3DDB" w:themeColor="accent2"/>
          <w:insideV w:val="single" w:sz="6" w:space="0" w:color="2B3DDB" w:themeColor="accent2"/>
        </w:tcBorders>
        <w:shd w:val="clear" w:color="auto" w:fill="959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C9F08E" w:themeColor="accent3"/>
        <w:left w:val="single" w:sz="8" w:space="0" w:color="C9F08E" w:themeColor="accent3"/>
        <w:bottom w:val="single" w:sz="8" w:space="0" w:color="C9F08E" w:themeColor="accent3"/>
        <w:right w:val="single" w:sz="8" w:space="0" w:color="C9F08E" w:themeColor="accent3"/>
        <w:insideH w:val="single" w:sz="8" w:space="0" w:color="C9F08E" w:themeColor="accent3"/>
        <w:insideV w:val="single" w:sz="8" w:space="0" w:color="C9F08E" w:themeColor="accent3"/>
      </w:tblBorders>
    </w:tblPr>
    <w:tcPr>
      <w:shd w:val="clear" w:color="auto" w:fill="F1FBE3" w:themeFill="accent3" w:themeFillTint="3F"/>
    </w:tcPr>
    <w:tblStylePr w:type="firstRow">
      <w:rPr>
        <w:b/>
        <w:bCs/>
        <w:color w:val="1D2030" w:themeColor="text1"/>
      </w:rPr>
      <w:tblPr/>
      <w:tcPr>
        <w:shd w:val="clear" w:color="auto" w:fill="F9FDF3" w:themeFill="accent3"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F4FCE8" w:themeFill="accent3" w:themeFillTint="33"/>
      </w:tcPr>
    </w:tblStylePr>
    <w:tblStylePr w:type="band1Vert">
      <w:tblPr/>
      <w:tcPr>
        <w:shd w:val="clear" w:color="auto" w:fill="E3F7C6" w:themeFill="accent3" w:themeFillTint="7F"/>
      </w:tcPr>
    </w:tblStylePr>
    <w:tblStylePr w:type="band1Horz">
      <w:tblPr/>
      <w:tcPr>
        <w:tcBorders>
          <w:insideH w:val="single" w:sz="6" w:space="0" w:color="C9F08E" w:themeColor="accent3"/>
          <w:insideV w:val="single" w:sz="6" w:space="0" w:color="C9F08E" w:themeColor="accent3"/>
        </w:tcBorders>
        <w:shd w:val="clear" w:color="auto" w:fill="E3F7C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FFFF9C" w:themeColor="accent4"/>
        <w:left w:val="single" w:sz="8" w:space="0" w:color="FFFF9C" w:themeColor="accent4"/>
        <w:bottom w:val="single" w:sz="8" w:space="0" w:color="FFFF9C" w:themeColor="accent4"/>
        <w:right w:val="single" w:sz="8" w:space="0" w:color="FFFF9C" w:themeColor="accent4"/>
        <w:insideH w:val="single" w:sz="8" w:space="0" w:color="FFFF9C" w:themeColor="accent4"/>
        <w:insideV w:val="single" w:sz="8" w:space="0" w:color="FFFF9C" w:themeColor="accent4"/>
      </w:tblBorders>
    </w:tblPr>
    <w:tcPr>
      <w:shd w:val="clear" w:color="auto" w:fill="FFFFE6" w:themeFill="accent4" w:themeFillTint="3F"/>
    </w:tcPr>
    <w:tblStylePr w:type="firstRow">
      <w:rPr>
        <w:b/>
        <w:bCs/>
        <w:color w:val="1D2030" w:themeColor="text1"/>
      </w:rPr>
      <w:tblPr/>
      <w:tcPr>
        <w:shd w:val="clear" w:color="auto" w:fill="FFFFF5" w:themeFill="accent4"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FFFFEB" w:themeFill="accent4" w:themeFillTint="33"/>
      </w:tcPr>
    </w:tblStylePr>
    <w:tblStylePr w:type="band1Vert">
      <w:tblPr/>
      <w:tcPr>
        <w:shd w:val="clear" w:color="auto" w:fill="FFFFCD" w:themeFill="accent4" w:themeFillTint="7F"/>
      </w:tcPr>
    </w:tblStylePr>
    <w:tblStylePr w:type="band1Horz">
      <w:tblPr/>
      <w:tcPr>
        <w:tcBorders>
          <w:insideH w:val="single" w:sz="6" w:space="0" w:color="FFFF9C" w:themeColor="accent4"/>
          <w:insideV w:val="single" w:sz="6" w:space="0" w:color="FFFF9C" w:themeColor="accent4"/>
        </w:tcBorders>
        <w:shd w:val="clear" w:color="auto" w:fill="FFFFC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insideH w:val="single" w:sz="8" w:space="0" w:color="E1E1E1" w:themeColor="accent5"/>
        <w:insideV w:val="single" w:sz="8" w:space="0" w:color="E1E1E1" w:themeColor="accent5"/>
      </w:tblBorders>
    </w:tblPr>
    <w:tcPr>
      <w:shd w:val="clear" w:color="auto" w:fill="F7F7F7" w:themeFill="accent5" w:themeFillTint="3F"/>
    </w:tcPr>
    <w:tblStylePr w:type="firstRow">
      <w:rPr>
        <w:b/>
        <w:bCs/>
        <w:color w:val="1D2030" w:themeColor="text1"/>
      </w:rPr>
      <w:tblPr/>
      <w:tcPr>
        <w:shd w:val="clear" w:color="auto" w:fill="FCFCFC" w:themeFill="accent5"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F9F9F9" w:themeFill="accent5" w:themeFillTint="33"/>
      </w:tcPr>
    </w:tblStylePr>
    <w:tblStylePr w:type="band1Vert">
      <w:tblPr/>
      <w:tcPr>
        <w:shd w:val="clear" w:color="auto" w:fill="F0F0F0" w:themeFill="accent5" w:themeFillTint="7F"/>
      </w:tcPr>
    </w:tblStylePr>
    <w:tblStylePr w:type="band1Horz">
      <w:tblPr/>
      <w:tcPr>
        <w:tcBorders>
          <w:insideH w:val="single" w:sz="6" w:space="0" w:color="E1E1E1" w:themeColor="accent5"/>
          <w:insideV w:val="single" w:sz="6" w:space="0" w:color="E1E1E1" w:themeColor="accent5"/>
        </w:tcBorders>
        <w:shd w:val="clear" w:color="auto" w:fill="F0F0F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E5FFFF" w:themeColor="accent6"/>
        <w:left w:val="single" w:sz="8" w:space="0" w:color="E5FFFF" w:themeColor="accent6"/>
        <w:bottom w:val="single" w:sz="8" w:space="0" w:color="E5FFFF" w:themeColor="accent6"/>
        <w:right w:val="single" w:sz="8" w:space="0" w:color="E5FFFF" w:themeColor="accent6"/>
        <w:insideH w:val="single" w:sz="8" w:space="0" w:color="E5FFFF" w:themeColor="accent6"/>
        <w:insideV w:val="single" w:sz="8" w:space="0" w:color="E5FFFF" w:themeColor="accent6"/>
      </w:tblBorders>
    </w:tblPr>
    <w:tcPr>
      <w:shd w:val="clear" w:color="auto" w:fill="F8FFFF" w:themeFill="accent6" w:themeFillTint="3F"/>
    </w:tcPr>
    <w:tblStylePr w:type="firstRow">
      <w:rPr>
        <w:b/>
        <w:bCs/>
        <w:color w:val="1D2030" w:themeColor="text1"/>
      </w:rPr>
      <w:tblPr/>
      <w:tcPr>
        <w:shd w:val="clear" w:color="auto" w:fill="FCFFFF" w:themeFill="accent6" w:themeFillTint="19"/>
      </w:tcPr>
    </w:tblStylePr>
    <w:tblStylePr w:type="lastRow">
      <w:rPr>
        <w:b/>
        <w:bCs/>
        <w:color w:val="1D2030" w:themeColor="text1"/>
      </w:rPr>
      <w:tblPr/>
      <w:tcPr>
        <w:tcBorders>
          <w:top w:val="single" w:sz="12" w:space="0" w:color="1D2030" w:themeColor="text1"/>
          <w:left w:val="nil"/>
          <w:bottom w:val="nil"/>
          <w:right w:val="nil"/>
          <w:insideH w:val="nil"/>
          <w:insideV w:val="nil"/>
        </w:tcBorders>
        <w:shd w:val="clear" w:color="auto" w:fill="FFFFFF" w:themeFill="background1"/>
      </w:tcPr>
    </w:tblStylePr>
    <w:tblStylePr w:type="firstCol">
      <w:rPr>
        <w:b/>
        <w:bCs/>
        <w:color w:val="1D203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D2030" w:themeColor="text1"/>
      </w:rPr>
      <w:tblPr/>
      <w:tcPr>
        <w:tcBorders>
          <w:top w:val="nil"/>
          <w:left w:val="nil"/>
          <w:bottom w:val="nil"/>
          <w:right w:val="nil"/>
          <w:insideH w:val="nil"/>
          <w:insideV w:val="nil"/>
        </w:tcBorders>
        <w:shd w:val="clear" w:color="auto" w:fill="F9FFFF" w:themeFill="accent6" w:themeFillTint="33"/>
      </w:tcPr>
    </w:tblStylePr>
    <w:tblStylePr w:type="band1Vert">
      <w:tblPr/>
      <w:tcPr>
        <w:shd w:val="clear" w:color="auto" w:fill="F2FFFF" w:themeFill="accent6" w:themeFillTint="7F"/>
      </w:tcPr>
    </w:tblStylePr>
    <w:tblStylePr w:type="band1Horz">
      <w:tblPr/>
      <w:tcPr>
        <w:tcBorders>
          <w:insideH w:val="single" w:sz="6" w:space="0" w:color="E5FFFF" w:themeColor="accent6"/>
          <w:insideV w:val="single" w:sz="6" w:space="0" w:color="E5FFFF" w:themeColor="accent6"/>
        </w:tcBorders>
        <w:shd w:val="clear" w:color="auto" w:fill="F2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C0D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203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203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203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203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80AD"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80AD" w:themeFill="text1" w:themeFillTint="7F"/>
      </w:tcPr>
    </w:tblStylePr>
  </w:style>
  <w:style w:type="table" w:styleId="MediumGrid3-Accent1">
    <w:name w:val="Medium Grid 3 Accent 1"/>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A4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C008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C008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C008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C008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47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47FF" w:themeFill="accent1" w:themeFillTint="7F"/>
      </w:tcPr>
    </w:tblStylePr>
  </w:style>
  <w:style w:type="table" w:styleId="MediumGrid3-Accent2">
    <w:name w:val="Medium Grid 3 Accent 2"/>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C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3DD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3DD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3DD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3DD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59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59EED" w:themeFill="accent2" w:themeFillTint="7F"/>
      </w:tcPr>
    </w:tblStylePr>
  </w:style>
  <w:style w:type="table" w:styleId="MediumGrid3-Accent3">
    <w:name w:val="Medium Grid 3 Accent 3"/>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BE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9F0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9F0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9F0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9F0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F7C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F7C6" w:themeFill="accent3" w:themeFillTint="7F"/>
      </w:tcPr>
    </w:tblStylePr>
  </w:style>
  <w:style w:type="table" w:styleId="MediumGrid3-Accent4">
    <w:name w:val="Medium Grid 3 Accent 4"/>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9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9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9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9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CD" w:themeFill="accent4" w:themeFillTint="7F"/>
      </w:tcPr>
    </w:tblStylePr>
  </w:style>
  <w:style w:type="table" w:styleId="MediumGrid3-Accent5">
    <w:name w:val="Medium Grid 3 Accent 5"/>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7F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E1E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E1E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E1E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E1E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F0F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F0F0" w:themeFill="accent5" w:themeFillTint="7F"/>
      </w:tcPr>
    </w:tblStylePr>
  </w:style>
  <w:style w:type="table" w:styleId="MediumGrid3-Accent6">
    <w:name w:val="Medium Grid 3 Accent 6"/>
    <w:basedOn w:val="TableNormal"/>
    <w:uiPriority w:val="98"/>
    <w:semiHidden/>
    <w:unhideWhenUsed/>
    <w:rsid w:val="00A652A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FF" w:themeFill="accent6" w:themeFillTint="7F"/>
      </w:tcPr>
    </w:tblStylePr>
  </w:style>
  <w:style w:type="table" w:styleId="MediumList1">
    <w:name w:val="Medium List 1"/>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1D2030" w:themeColor="text1"/>
        <w:bottom w:val="single" w:sz="8" w:space="0" w:color="1D2030" w:themeColor="text1"/>
      </w:tblBorders>
    </w:tblPr>
    <w:tblStylePr w:type="firstRow">
      <w:rPr>
        <w:rFonts w:asciiTheme="majorHAnsi" w:eastAsiaTheme="majorEastAsia" w:hAnsiTheme="majorHAnsi" w:cstheme="majorBidi"/>
      </w:rPr>
      <w:tblPr/>
      <w:tcPr>
        <w:tcBorders>
          <w:top w:val="nil"/>
          <w:bottom w:val="single" w:sz="8" w:space="0" w:color="1D2030" w:themeColor="text1"/>
        </w:tcBorders>
      </w:tcPr>
    </w:tblStylePr>
    <w:tblStylePr w:type="lastRow">
      <w:rPr>
        <w:b/>
        <w:bCs/>
        <w:color w:val="0C008E" w:themeColor="text2"/>
      </w:rPr>
      <w:tblPr/>
      <w:tcPr>
        <w:tcBorders>
          <w:top w:val="single" w:sz="8" w:space="0" w:color="1D2030" w:themeColor="text1"/>
          <w:bottom w:val="single" w:sz="8" w:space="0" w:color="1D2030" w:themeColor="text1"/>
        </w:tcBorders>
      </w:tcPr>
    </w:tblStylePr>
    <w:tblStylePr w:type="firstCol">
      <w:rPr>
        <w:b/>
        <w:bCs/>
      </w:rPr>
    </w:tblStylePr>
    <w:tblStylePr w:type="lastCol">
      <w:rPr>
        <w:b/>
        <w:bCs/>
      </w:rPr>
      <w:tblPr/>
      <w:tcPr>
        <w:tcBorders>
          <w:top w:val="single" w:sz="8" w:space="0" w:color="1D2030" w:themeColor="text1"/>
          <w:bottom w:val="single" w:sz="8" w:space="0" w:color="1D2030" w:themeColor="text1"/>
        </w:tcBorders>
      </w:tcPr>
    </w:tblStylePr>
    <w:tblStylePr w:type="band1Vert">
      <w:tblPr/>
      <w:tcPr>
        <w:shd w:val="clear" w:color="auto" w:fill="BCC0D6" w:themeFill="text1" w:themeFillTint="3F"/>
      </w:tcPr>
    </w:tblStylePr>
    <w:tblStylePr w:type="band1Horz">
      <w:tblPr/>
      <w:tcPr>
        <w:shd w:val="clear" w:color="auto" w:fill="BCC0D6" w:themeFill="text1" w:themeFillTint="3F"/>
      </w:tcPr>
    </w:tblStylePr>
  </w:style>
  <w:style w:type="table" w:styleId="MediumList1-Accent1">
    <w:name w:val="Medium List 1 Accent 1"/>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0C008E" w:themeColor="accent1"/>
        <w:bottom w:val="single" w:sz="8" w:space="0" w:color="0C008E" w:themeColor="accent1"/>
      </w:tblBorders>
    </w:tblPr>
    <w:tblStylePr w:type="firstRow">
      <w:rPr>
        <w:rFonts w:asciiTheme="majorHAnsi" w:eastAsiaTheme="majorEastAsia" w:hAnsiTheme="majorHAnsi" w:cstheme="majorBidi"/>
      </w:rPr>
      <w:tblPr/>
      <w:tcPr>
        <w:tcBorders>
          <w:top w:val="nil"/>
          <w:bottom w:val="single" w:sz="8" w:space="0" w:color="0C008E" w:themeColor="accent1"/>
        </w:tcBorders>
      </w:tcPr>
    </w:tblStylePr>
    <w:tblStylePr w:type="lastRow">
      <w:rPr>
        <w:b/>
        <w:bCs/>
        <w:color w:val="0C008E" w:themeColor="text2"/>
      </w:rPr>
      <w:tblPr/>
      <w:tcPr>
        <w:tcBorders>
          <w:top w:val="single" w:sz="8" w:space="0" w:color="0C008E" w:themeColor="accent1"/>
          <w:bottom w:val="single" w:sz="8" w:space="0" w:color="0C008E" w:themeColor="accent1"/>
        </w:tcBorders>
      </w:tcPr>
    </w:tblStylePr>
    <w:tblStylePr w:type="firstCol">
      <w:rPr>
        <w:b/>
        <w:bCs/>
      </w:rPr>
    </w:tblStylePr>
    <w:tblStylePr w:type="lastCol">
      <w:rPr>
        <w:b/>
        <w:bCs/>
      </w:rPr>
      <w:tblPr/>
      <w:tcPr>
        <w:tcBorders>
          <w:top w:val="single" w:sz="8" w:space="0" w:color="0C008E" w:themeColor="accent1"/>
          <w:bottom w:val="single" w:sz="8" w:space="0" w:color="0C008E" w:themeColor="accent1"/>
        </w:tcBorders>
      </w:tcPr>
    </w:tblStylePr>
    <w:tblStylePr w:type="band1Vert">
      <w:tblPr/>
      <w:tcPr>
        <w:shd w:val="clear" w:color="auto" w:fill="ABA4FF" w:themeFill="accent1" w:themeFillTint="3F"/>
      </w:tcPr>
    </w:tblStylePr>
    <w:tblStylePr w:type="band1Horz">
      <w:tblPr/>
      <w:tcPr>
        <w:shd w:val="clear" w:color="auto" w:fill="ABA4FF" w:themeFill="accent1" w:themeFillTint="3F"/>
      </w:tcPr>
    </w:tblStylePr>
  </w:style>
  <w:style w:type="table" w:styleId="MediumList1-Accent2">
    <w:name w:val="Medium List 1 Accent 2"/>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2B3DDB" w:themeColor="accent2"/>
        <w:bottom w:val="single" w:sz="8" w:space="0" w:color="2B3DDB" w:themeColor="accent2"/>
      </w:tblBorders>
    </w:tblPr>
    <w:tblStylePr w:type="firstRow">
      <w:rPr>
        <w:rFonts w:asciiTheme="majorHAnsi" w:eastAsiaTheme="majorEastAsia" w:hAnsiTheme="majorHAnsi" w:cstheme="majorBidi"/>
      </w:rPr>
      <w:tblPr/>
      <w:tcPr>
        <w:tcBorders>
          <w:top w:val="nil"/>
          <w:bottom w:val="single" w:sz="8" w:space="0" w:color="2B3DDB" w:themeColor="accent2"/>
        </w:tcBorders>
      </w:tcPr>
    </w:tblStylePr>
    <w:tblStylePr w:type="lastRow">
      <w:rPr>
        <w:b/>
        <w:bCs/>
        <w:color w:val="0C008E" w:themeColor="text2"/>
      </w:rPr>
      <w:tblPr/>
      <w:tcPr>
        <w:tcBorders>
          <w:top w:val="single" w:sz="8" w:space="0" w:color="2B3DDB" w:themeColor="accent2"/>
          <w:bottom w:val="single" w:sz="8" w:space="0" w:color="2B3DDB" w:themeColor="accent2"/>
        </w:tcBorders>
      </w:tcPr>
    </w:tblStylePr>
    <w:tblStylePr w:type="firstCol">
      <w:rPr>
        <w:b/>
        <w:bCs/>
      </w:rPr>
    </w:tblStylePr>
    <w:tblStylePr w:type="lastCol">
      <w:rPr>
        <w:b/>
        <w:bCs/>
      </w:rPr>
      <w:tblPr/>
      <w:tcPr>
        <w:tcBorders>
          <w:top w:val="single" w:sz="8" w:space="0" w:color="2B3DDB" w:themeColor="accent2"/>
          <w:bottom w:val="single" w:sz="8" w:space="0" w:color="2B3DDB" w:themeColor="accent2"/>
        </w:tcBorders>
      </w:tcPr>
    </w:tblStylePr>
    <w:tblStylePr w:type="band1Vert">
      <w:tblPr/>
      <w:tcPr>
        <w:shd w:val="clear" w:color="auto" w:fill="CACEF6" w:themeFill="accent2" w:themeFillTint="3F"/>
      </w:tcPr>
    </w:tblStylePr>
    <w:tblStylePr w:type="band1Horz">
      <w:tblPr/>
      <w:tcPr>
        <w:shd w:val="clear" w:color="auto" w:fill="CACEF6" w:themeFill="accent2" w:themeFillTint="3F"/>
      </w:tcPr>
    </w:tblStylePr>
  </w:style>
  <w:style w:type="table" w:styleId="MediumList1-Accent3">
    <w:name w:val="Medium List 1 Accent 3"/>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C9F08E" w:themeColor="accent3"/>
        <w:bottom w:val="single" w:sz="8" w:space="0" w:color="C9F08E" w:themeColor="accent3"/>
      </w:tblBorders>
    </w:tblPr>
    <w:tblStylePr w:type="firstRow">
      <w:rPr>
        <w:rFonts w:asciiTheme="majorHAnsi" w:eastAsiaTheme="majorEastAsia" w:hAnsiTheme="majorHAnsi" w:cstheme="majorBidi"/>
      </w:rPr>
      <w:tblPr/>
      <w:tcPr>
        <w:tcBorders>
          <w:top w:val="nil"/>
          <w:bottom w:val="single" w:sz="8" w:space="0" w:color="C9F08E" w:themeColor="accent3"/>
        </w:tcBorders>
      </w:tcPr>
    </w:tblStylePr>
    <w:tblStylePr w:type="lastRow">
      <w:rPr>
        <w:b/>
        <w:bCs/>
        <w:color w:val="0C008E" w:themeColor="text2"/>
      </w:rPr>
      <w:tblPr/>
      <w:tcPr>
        <w:tcBorders>
          <w:top w:val="single" w:sz="8" w:space="0" w:color="C9F08E" w:themeColor="accent3"/>
          <w:bottom w:val="single" w:sz="8" w:space="0" w:color="C9F08E" w:themeColor="accent3"/>
        </w:tcBorders>
      </w:tcPr>
    </w:tblStylePr>
    <w:tblStylePr w:type="firstCol">
      <w:rPr>
        <w:b/>
        <w:bCs/>
      </w:rPr>
    </w:tblStylePr>
    <w:tblStylePr w:type="lastCol">
      <w:rPr>
        <w:b/>
        <w:bCs/>
      </w:rPr>
      <w:tblPr/>
      <w:tcPr>
        <w:tcBorders>
          <w:top w:val="single" w:sz="8" w:space="0" w:color="C9F08E" w:themeColor="accent3"/>
          <w:bottom w:val="single" w:sz="8" w:space="0" w:color="C9F08E" w:themeColor="accent3"/>
        </w:tcBorders>
      </w:tcPr>
    </w:tblStylePr>
    <w:tblStylePr w:type="band1Vert">
      <w:tblPr/>
      <w:tcPr>
        <w:shd w:val="clear" w:color="auto" w:fill="F1FBE3" w:themeFill="accent3" w:themeFillTint="3F"/>
      </w:tcPr>
    </w:tblStylePr>
    <w:tblStylePr w:type="band1Horz">
      <w:tblPr/>
      <w:tcPr>
        <w:shd w:val="clear" w:color="auto" w:fill="F1FBE3" w:themeFill="accent3" w:themeFillTint="3F"/>
      </w:tcPr>
    </w:tblStylePr>
  </w:style>
  <w:style w:type="table" w:styleId="MediumList1-Accent4">
    <w:name w:val="Medium List 1 Accent 4"/>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FFFF9C" w:themeColor="accent4"/>
        <w:bottom w:val="single" w:sz="8" w:space="0" w:color="FFFF9C" w:themeColor="accent4"/>
      </w:tblBorders>
    </w:tblPr>
    <w:tblStylePr w:type="firstRow">
      <w:rPr>
        <w:rFonts w:asciiTheme="majorHAnsi" w:eastAsiaTheme="majorEastAsia" w:hAnsiTheme="majorHAnsi" w:cstheme="majorBidi"/>
      </w:rPr>
      <w:tblPr/>
      <w:tcPr>
        <w:tcBorders>
          <w:top w:val="nil"/>
          <w:bottom w:val="single" w:sz="8" w:space="0" w:color="FFFF9C" w:themeColor="accent4"/>
        </w:tcBorders>
      </w:tcPr>
    </w:tblStylePr>
    <w:tblStylePr w:type="lastRow">
      <w:rPr>
        <w:b/>
        <w:bCs/>
        <w:color w:val="0C008E" w:themeColor="text2"/>
      </w:rPr>
      <w:tblPr/>
      <w:tcPr>
        <w:tcBorders>
          <w:top w:val="single" w:sz="8" w:space="0" w:color="FFFF9C" w:themeColor="accent4"/>
          <w:bottom w:val="single" w:sz="8" w:space="0" w:color="FFFF9C" w:themeColor="accent4"/>
        </w:tcBorders>
      </w:tcPr>
    </w:tblStylePr>
    <w:tblStylePr w:type="firstCol">
      <w:rPr>
        <w:b/>
        <w:bCs/>
      </w:rPr>
    </w:tblStylePr>
    <w:tblStylePr w:type="lastCol">
      <w:rPr>
        <w:b/>
        <w:bCs/>
      </w:rPr>
      <w:tblPr/>
      <w:tcPr>
        <w:tcBorders>
          <w:top w:val="single" w:sz="8" w:space="0" w:color="FFFF9C" w:themeColor="accent4"/>
          <w:bottom w:val="single" w:sz="8" w:space="0" w:color="FFFF9C" w:themeColor="accent4"/>
        </w:tcBorders>
      </w:tcPr>
    </w:tblStylePr>
    <w:tblStylePr w:type="band1Vert">
      <w:tblPr/>
      <w:tcPr>
        <w:shd w:val="clear" w:color="auto" w:fill="FFFFE6" w:themeFill="accent4" w:themeFillTint="3F"/>
      </w:tcPr>
    </w:tblStylePr>
    <w:tblStylePr w:type="band1Horz">
      <w:tblPr/>
      <w:tcPr>
        <w:shd w:val="clear" w:color="auto" w:fill="FFFFE6" w:themeFill="accent4" w:themeFillTint="3F"/>
      </w:tcPr>
    </w:tblStylePr>
  </w:style>
  <w:style w:type="table" w:styleId="MediumList1-Accent5">
    <w:name w:val="Medium List 1 Accent 5"/>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E1E1E1" w:themeColor="accent5"/>
        <w:bottom w:val="single" w:sz="8" w:space="0" w:color="E1E1E1" w:themeColor="accent5"/>
      </w:tblBorders>
    </w:tblPr>
    <w:tblStylePr w:type="firstRow">
      <w:rPr>
        <w:rFonts w:asciiTheme="majorHAnsi" w:eastAsiaTheme="majorEastAsia" w:hAnsiTheme="majorHAnsi" w:cstheme="majorBidi"/>
      </w:rPr>
      <w:tblPr/>
      <w:tcPr>
        <w:tcBorders>
          <w:top w:val="nil"/>
          <w:bottom w:val="single" w:sz="8" w:space="0" w:color="E1E1E1" w:themeColor="accent5"/>
        </w:tcBorders>
      </w:tcPr>
    </w:tblStylePr>
    <w:tblStylePr w:type="lastRow">
      <w:rPr>
        <w:b/>
        <w:bCs/>
        <w:color w:val="0C008E" w:themeColor="text2"/>
      </w:rPr>
      <w:tblPr/>
      <w:tcPr>
        <w:tcBorders>
          <w:top w:val="single" w:sz="8" w:space="0" w:color="E1E1E1" w:themeColor="accent5"/>
          <w:bottom w:val="single" w:sz="8" w:space="0" w:color="E1E1E1" w:themeColor="accent5"/>
        </w:tcBorders>
      </w:tcPr>
    </w:tblStylePr>
    <w:tblStylePr w:type="firstCol">
      <w:rPr>
        <w:b/>
        <w:bCs/>
      </w:rPr>
    </w:tblStylePr>
    <w:tblStylePr w:type="lastCol">
      <w:rPr>
        <w:b/>
        <w:bCs/>
      </w:rPr>
      <w:tblPr/>
      <w:tcPr>
        <w:tcBorders>
          <w:top w:val="single" w:sz="8" w:space="0" w:color="E1E1E1" w:themeColor="accent5"/>
          <w:bottom w:val="single" w:sz="8" w:space="0" w:color="E1E1E1" w:themeColor="accent5"/>
        </w:tcBorders>
      </w:tcPr>
    </w:tblStylePr>
    <w:tblStylePr w:type="band1Vert">
      <w:tblPr/>
      <w:tcPr>
        <w:shd w:val="clear" w:color="auto" w:fill="F7F7F7" w:themeFill="accent5" w:themeFillTint="3F"/>
      </w:tcPr>
    </w:tblStylePr>
    <w:tblStylePr w:type="band1Horz">
      <w:tblPr/>
      <w:tcPr>
        <w:shd w:val="clear" w:color="auto" w:fill="F7F7F7" w:themeFill="accent5" w:themeFillTint="3F"/>
      </w:tcPr>
    </w:tblStylePr>
  </w:style>
  <w:style w:type="table" w:styleId="MediumList1-Accent6">
    <w:name w:val="Medium List 1 Accent 6"/>
    <w:basedOn w:val="TableNormal"/>
    <w:uiPriority w:val="98"/>
    <w:semiHidden/>
    <w:unhideWhenUsed/>
    <w:rsid w:val="00A652AD"/>
    <w:pPr>
      <w:spacing w:after="0" w:line="240" w:lineRule="auto"/>
    </w:pPr>
    <w:rPr>
      <w:color w:val="1D2030" w:themeColor="text1"/>
    </w:rPr>
    <w:tblPr>
      <w:tblStyleRowBandSize w:val="1"/>
      <w:tblStyleColBandSize w:val="1"/>
      <w:tblBorders>
        <w:top w:val="single" w:sz="8" w:space="0" w:color="E5FFFF" w:themeColor="accent6"/>
        <w:bottom w:val="single" w:sz="8" w:space="0" w:color="E5FFFF" w:themeColor="accent6"/>
      </w:tblBorders>
    </w:tblPr>
    <w:tblStylePr w:type="firstRow">
      <w:rPr>
        <w:rFonts w:asciiTheme="majorHAnsi" w:eastAsiaTheme="majorEastAsia" w:hAnsiTheme="majorHAnsi" w:cstheme="majorBidi"/>
      </w:rPr>
      <w:tblPr/>
      <w:tcPr>
        <w:tcBorders>
          <w:top w:val="nil"/>
          <w:bottom w:val="single" w:sz="8" w:space="0" w:color="E5FFFF" w:themeColor="accent6"/>
        </w:tcBorders>
      </w:tcPr>
    </w:tblStylePr>
    <w:tblStylePr w:type="lastRow">
      <w:rPr>
        <w:b/>
        <w:bCs/>
        <w:color w:val="0C008E" w:themeColor="text2"/>
      </w:rPr>
      <w:tblPr/>
      <w:tcPr>
        <w:tcBorders>
          <w:top w:val="single" w:sz="8" w:space="0" w:color="E5FFFF" w:themeColor="accent6"/>
          <w:bottom w:val="single" w:sz="8" w:space="0" w:color="E5FFFF" w:themeColor="accent6"/>
        </w:tcBorders>
      </w:tcPr>
    </w:tblStylePr>
    <w:tblStylePr w:type="firstCol">
      <w:rPr>
        <w:b/>
        <w:bCs/>
      </w:rPr>
    </w:tblStylePr>
    <w:tblStylePr w:type="lastCol">
      <w:rPr>
        <w:b/>
        <w:bCs/>
      </w:rPr>
      <w:tblPr/>
      <w:tcPr>
        <w:tcBorders>
          <w:top w:val="single" w:sz="8" w:space="0" w:color="E5FFFF" w:themeColor="accent6"/>
          <w:bottom w:val="single" w:sz="8" w:space="0" w:color="E5FFFF" w:themeColor="accent6"/>
        </w:tcBorders>
      </w:tcPr>
    </w:tblStylePr>
    <w:tblStylePr w:type="band1Vert">
      <w:tblPr/>
      <w:tcPr>
        <w:shd w:val="clear" w:color="auto" w:fill="F8FFFF" w:themeFill="accent6" w:themeFillTint="3F"/>
      </w:tcPr>
    </w:tblStylePr>
    <w:tblStylePr w:type="band1Horz">
      <w:tblPr/>
      <w:tcPr>
        <w:shd w:val="clear" w:color="auto" w:fill="F8FFFF" w:themeFill="accent6" w:themeFillTint="3F"/>
      </w:tcPr>
    </w:tblStylePr>
  </w:style>
  <w:style w:type="table" w:styleId="MediumList2">
    <w:name w:val="Medium List 2"/>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1D2030" w:themeColor="text1"/>
        <w:left w:val="single" w:sz="8" w:space="0" w:color="1D2030" w:themeColor="text1"/>
        <w:bottom w:val="single" w:sz="8" w:space="0" w:color="1D2030" w:themeColor="text1"/>
        <w:right w:val="single" w:sz="8" w:space="0" w:color="1D2030" w:themeColor="text1"/>
      </w:tblBorders>
    </w:tblPr>
    <w:tblStylePr w:type="firstRow">
      <w:rPr>
        <w:sz w:val="24"/>
        <w:szCs w:val="24"/>
      </w:rPr>
      <w:tblPr/>
      <w:tcPr>
        <w:tcBorders>
          <w:top w:val="nil"/>
          <w:left w:val="nil"/>
          <w:bottom w:val="single" w:sz="24" w:space="0" w:color="1D2030" w:themeColor="text1"/>
          <w:right w:val="nil"/>
          <w:insideH w:val="nil"/>
          <w:insideV w:val="nil"/>
        </w:tcBorders>
        <w:shd w:val="clear" w:color="auto" w:fill="FFFFFF" w:themeFill="background1"/>
      </w:tcPr>
    </w:tblStylePr>
    <w:tblStylePr w:type="lastRow">
      <w:tblPr/>
      <w:tcPr>
        <w:tcBorders>
          <w:top w:val="single" w:sz="8" w:space="0" w:color="1D203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2030" w:themeColor="text1"/>
          <w:insideH w:val="nil"/>
          <w:insideV w:val="nil"/>
        </w:tcBorders>
        <w:shd w:val="clear" w:color="auto" w:fill="FFFFFF" w:themeFill="background1"/>
      </w:tcPr>
    </w:tblStylePr>
    <w:tblStylePr w:type="lastCol">
      <w:tblPr/>
      <w:tcPr>
        <w:tcBorders>
          <w:top w:val="nil"/>
          <w:left w:val="single" w:sz="8" w:space="0" w:color="1D203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C0D6" w:themeFill="text1" w:themeFillTint="3F"/>
      </w:tcPr>
    </w:tblStylePr>
    <w:tblStylePr w:type="band1Horz">
      <w:tblPr/>
      <w:tcPr>
        <w:tcBorders>
          <w:top w:val="nil"/>
          <w:bottom w:val="nil"/>
          <w:insideH w:val="nil"/>
          <w:insideV w:val="nil"/>
        </w:tcBorders>
        <w:shd w:val="clear" w:color="auto" w:fill="BCC0D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0C008E" w:themeColor="accent1"/>
        <w:left w:val="single" w:sz="8" w:space="0" w:color="0C008E" w:themeColor="accent1"/>
        <w:bottom w:val="single" w:sz="8" w:space="0" w:color="0C008E" w:themeColor="accent1"/>
        <w:right w:val="single" w:sz="8" w:space="0" w:color="0C008E" w:themeColor="accent1"/>
      </w:tblBorders>
    </w:tblPr>
    <w:tblStylePr w:type="firstRow">
      <w:rPr>
        <w:sz w:val="24"/>
        <w:szCs w:val="24"/>
      </w:rPr>
      <w:tblPr/>
      <w:tcPr>
        <w:tcBorders>
          <w:top w:val="nil"/>
          <w:left w:val="nil"/>
          <w:bottom w:val="single" w:sz="24" w:space="0" w:color="0C008E" w:themeColor="accent1"/>
          <w:right w:val="nil"/>
          <w:insideH w:val="nil"/>
          <w:insideV w:val="nil"/>
        </w:tcBorders>
        <w:shd w:val="clear" w:color="auto" w:fill="FFFFFF" w:themeFill="background1"/>
      </w:tcPr>
    </w:tblStylePr>
    <w:tblStylePr w:type="lastRow">
      <w:tblPr/>
      <w:tcPr>
        <w:tcBorders>
          <w:top w:val="single" w:sz="8" w:space="0" w:color="0C008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C008E" w:themeColor="accent1"/>
          <w:insideH w:val="nil"/>
          <w:insideV w:val="nil"/>
        </w:tcBorders>
        <w:shd w:val="clear" w:color="auto" w:fill="FFFFFF" w:themeFill="background1"/>
      </w:tcPr>
    </w:tblStylePr>
    <w:tblStylePr w:type="lastCol">
      <w:tblPr/>
      <w:tcPr>
        <w:tcBorders>
          <w:top w:val="nil"/>
          <w:left w:val="single" w:sz="8" w:space="0" w:color="0C008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A4FF" w:themeFill="accent1" w:themeFillTint="3F"/>
      </w:tcPr>
    </w:tblStylePr>
    <w:tblStylePr w:type="band1Horz">
      <w:tblPr/>
      <w:tcPr>
        <w:tcBorders>
          <w:top w:val="nil"/>
          <w:bottom w:val="nil"/>
          <w:insideH w:val="nil"/>
          <w:insideV w:val="nil"/>
        </w:tcBorders>
        <w:shd w:val="clear" w:color="auto" w:fill="ABA4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2B3DDB" w:themeColor="accent2"/>
        <w:left w:val="single" w:sz="8" w:space="0" w:color="2B3DDB" w:themeColor="accent2"/>
        <w:bottom w:val="single" w:sz="8" w:space="0" w:color="2B3DDB" w:themeColor="accent2"/>
        <w:right w:val="single" w:sz="8" w:space="0" w:color="2B3DDB" w:themeColor="accent2"/>
      </w:tblBorders>
    </w:tblPr>
    <w:tblStylePr w:type="firstRow">
      <w:rPr>
        <w:sz w:val="24"/>
        <w:szCs w:val="24"/>
      </w:rPr>
      <w:tblPr/>
      <w:tcPr>
        <w:tcBorders>
          <w:top w:val="nil"/>
          <w:left w:val="nil"/>
          <w:bottom w:val="single" w:sz="24" w:space="0" w:color="2B3DDB" w:themeColor="accent2"/>
          <w:right w:val="nil"/>
          <w:insideH w:val="nil"/>
          <w:insideV w:val="nil"/>
        </w:tcBorders>
        <w:shd w:val="clear" w:color="auto" w:fill="FFFFFF" w:themeFill="background1"/>
      </w:tcPr>
    </w:tblStylePr>
    <w:tblStylePr w:type="lastRow">
      <w:tblPr/>
      <w:tcPr>
        <w:tcBorders>
          <w:top w:val="single" w:sz="8" w:space="0" w:color="2B3DD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2B3DDB" w:themeColor="accent2"/>
          <w:insideH w:val="nil"/>
          <w:insideV w:val="nil"/>
        </w:tcBorders>
        <w:shd w:val="clear" w:color="auto" w:fill="FFFFFF" w:themeFill="background1"/>
      </w:tcPr>
    </w:tblStylePr>
    <w:tblStylePr w:type="lastCol">
      <w:tblPr/>
      <w:tcPr>
        <w:tcBorders>
          <w:top w:val="nil"/>
          <w:left w:val="single" w:sz="8" w:space="0" w:color="2B3DD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CEF6" w:themeFill="accent2" w:themeFillTint="3F"/>
      </w:tcPr>
    </w:tblStylePr>
    <w:tblStylePr w:type="band1Horz">
      <w:tblPr/>
      <w:tcPr>
        <w:tcBorders>
          <w:top w:val="nil"/>
          <w:bottom w:val="nil"/>
          <w:insideH w:val="nil"/>
          <w:insideV w:val="nil"/>
        </w:tcBorders>
        <w:shd w:val="clear" w:color="auto" w:fill="CAC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C9F08E" w:themeColor="accent3"/>
        <w:left w:val="single" w:sz="8" w:space="0" w:color="C9F08E" w:themeColor="accent3"/>
        <w:bottom w:val="single" w:sz="8" w:space="0" w:color="C9F08E" w:themeColor="accent3"/>
        <w:right w:val="single" w:sz="8" w:space="0" w:color="C9F08E" w:themeColor="accent3"/>
      </w:tblBorders>
    </w:tblPr>
    <w:tblStylePr w:type="firstRow">
      <w:rPr>
        <w:sz w:val="24"/>
        <w:szCs w:val="24"/>
      </w:rPr>
      <w:tblPr/>
      <w:tcPr>
        <w:tcBorders>
          <w:top w:val="nil"/>
          <w:left w:val="nil"/>
          <w:bottom w:val="single" w:sz="24" w:space="0" w:color="C9F08E" w:themeColor="accent3"/>
          <w:right w:val="nil"/>
          <w:insideH w:val="nil"/>
          <w:insideV w:val="nil"/>
        </w:tcBorders>
        <w:shd w:val="clear" w:color="auto" w:fill="FFFFFF" w:themeFill="background1"/>
      </w:tcPr>
    </w:tblStylePr>
    <w:tblStylePr w:type="lastRow">
      <w:tblPr/>
      <w:tcPr>
        <w:tcBorders>
          <w:top w:val="single" w:sz="8" w:space="0" w:color="C9F08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9F08E" w:themeColor="accent3"/>
          <w:insideH w:val="nil"/>
          <w:insideV w:val="nil"/>
        </w:tcBorders>
        <w:shd w:val="clear" w:color="auto" w:fill="FFFFFF" w:themeFill="background1"/>
      </w:tcPr>
    </w:tblStylePr>
    <w:tblStylePr w:type="lastCol">
      <w:tblPr/>
      <w:tcPr>
        <w:tcBorders>
          <w:top w:val="nil"/>
          <w:left w:val="single" w:sz="8" w:space="0" w:color="C9F0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BE3" w:themeFill="accent3" w:themeFillTint="3F"/>
      </w:tcPr>
    </w:tblStylePr>
    <w:tblStylePr w:type="band1Horz">
      <w:tblPr/>
      <w:tcPr>
        <w:tcBorders>
          <w:top w:val="nil"/>
          <w:bottom w:val="nil"/>
          <w:insideH w:val="nil"/>
          <w:insideV w:val="nil"/>
        </w:tcBorders>
        <w:shd w:val="clear" w:color="auto" w:fill="F1FBE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FFFF9C" w:themeColor="accent4"/>
        <w:left w:val="single" w:sz="8" w:space="0" w:color="FFFF9C" w:themeColor="accent4"/>
        <w:bottom w:val="single" w:sz="8" w:space="0" w:color="FFFF9C" w:themeColor="accent4"/>
        <w:right w:val="single" w:sz="8" w:space="0" w:color="FFFF9C" w:themeColor="accent4"/>
      </w:tblBorders>
    </w:tblPr>
    <w:tblStylePr w:type="firstRow">
      <w:rPr>
        <w:sz w:val="24"/>
        <w:szCs w:val="24"/>
      </w:rPr>
      <w:tblPr/>
      <w:tcPr>
        <w:tcBorders>
          <w:top w:val="nil"/>
          <w:left w:val="nil"/>
          <w:bottom w:val="single" w:sz="24" w:space="0" w:color="FFFF9C" w:themeColor="accent4"/>
          <w:right w:val="nil"/>
          <w:insideH w:val="nil"/>
          <w:insideV w:val="nil"/>
        </w:tcBorders>
        <w:shd w:val="clear" w:color="auto" w:fill="FFFFFF" w:themeFill="background1"/>
      </w:tcPr>
    </w:tblStylePr>
    <w:tblStylePr w:type="lastRow">
      <w:tblPr/>
      <w:tcPr>
        <w:tcBorders>
          <w:top w:val="single" w:sz="8" w:space="0" w:color="FFFF9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9C" w:themeColor="accent4"/>
          <w:insideH w:val="nil"/>
          <w:insideV w:val="nil"/>
        </w:tcBorders>
        <w:shd w:val="clear" w:color="auto" w:fill="FFFFFF" w:themeFill="background1"/>
      </w:tcPr>
    </w:tblStylePr>
    <w:tblStylePr w:type="lastCol">
      <w:tblPr/>
      <w:tcPr>
        <w:tcBorders>
          <w:top w:val="nil"/>
          <w:left w:val="single" w:sz="8" w:space="0" w:color="FFFF9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E6" w:themeFill="accent4" w:themeFillTint="3F"/>
      </w:tcPr>
    </w:tblStylePr>
    <w:tblStylePr w:type="band1Horz">
      <w:tblPr/>
      <w:tcPr>
        <w:tcBorders>
          <w:top w:val="nil"/>
          <w:bottom w:val="nil"/>
          <w:insideH w:val="nil"/>
          <w:insideV w:val="nil"/>
        </w:tcBorders>
        <w:shd w:val="clear" w:color="auto" w:fill="FFFF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E1E1E1" w:themeColor="accent5"/>
        <w:left w:val="single" w:sz="8" w:space="0" w:color="E1E1E1" w:themeColor="accent5"/>
        <w:bottom w:val="single" w:sz="8" w:space="0" w:color="E1E1E1" w:themeColor="accent5"/>
        <w:right w:val="single" w:sz="8" w:space="0" w:color="E1E1E1" w:themeColor="accent5"/>
      </w:tblBorders>
    </w:tblPr>
    <w:tblStylePr w:type="firstRow">
      <w:rPr>
        <w:sz w:val="24"/>
        <w:szCs w:val="24"/>
      </w:rPr>
      <w:tblPr/>
      <w:tcPr>
        <w:tcBorders>
          <w:top w:val="nil"/>
          <w:left w:val="nil"/>
          <w:bottom w:val="single" w:sz="24" w:space="0" w:color="E1E1E1" w:themeColor="accent5"/>
          <w:right w:val="nil"/>
          <w:insideH w:val="nil"/>
          <w:insideV w:val="nil"/>
        </w:tcBorders>
        <w:shd w:val="clear" w:color="auto" w:fill="FFFFFF" w:themeFill="background1"/>
      </w:tcPr>
    </w:tblStylePr>
    <w:tblStylePr w:type="lastRow">
      <w:tblPr/>
      <w:tcPr>
        <w:tcBorders>
          <w:top w:val="single" w:sz="8" w:space="0" w:color="E1E1E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E1E1" w:themeColor="accent5"/>
          <w:insideH w:val="nil"/>
          <w:insideV w:val="nil"/>
        </w:tcBorders>
        <w:shd w:val="clear" w:color="auto" w:fill="FFFFFF" w:themeFill="background1"/>
      </w:tcPr>
    </w:tblStylePr>
    <w:tblStylePr w:type="lastCol">
      <w:tblPr/>
      <w:tcPr>
        <w:tcBorders>
          <w:top w:val="nil"/>
          <w:left w:val="single" w:sz="8" w:space="0" w:color="E1E1E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7F7" w:themeFill="accent5" w:themeFillTint="3F"/>
      </w:tcPr>
    </w:tblStylePr>
    <w:tblStylePr w:type="band1Horz">
      <w:tblPr/>
      <w:tcPr>
        <w:tcBorders>
          <w:top w:val="nil"/>
          <w:bottom w:val="nil"/>
          <w:insideH w:val="nil"/>
          <w:insideV w:val="nil"/>
        </w:tcBorders>
        <w:shd w:val="clear" w:color="auto" w:fill="F7F7F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semiHidden/>
    <w:unhideWhenUsed/>
    <w:rsid w:val="00A652AD"/>
    <w:pPr>
      <w:spacing w:after="0" w:line="240" w:lineRule="auto"/>
    </w:pPr>
    <w:rPr>
      <w:rFonts w:asciiTheme="majorHAnsi" w:eastAsiaTheme="majorEastAsia" w:hAnsiTheme="majorHAnsi" w:cstheme="majorBidi"/>
      <w:color w:val="1D2030" w:themeColor="text1"/>
    </w:rPr>
    <w:tblPr>
      <w:tblStyleRowBandSize w:val="1"/>
      <w:tblStyleColBandSize w:val="1"/>
      <w:tblBorders>
        <w:top w:val="single" w:sz="8" w:space="0" w:color="E5FFFF" w:themeColor="accent6"/>
        <w:left w:val="single" w:sz="8" w:space="0" w:color="E5FFFF" w:themeColor="accent6"/>
        <w:bottom w:val="single" w:sz="8" w:space="0" w:color="E5FFFF" w:themeColor="accent6"/>
        <w:right w:val="single" w:sz="8" w:space="0" w:color="E5FFFF" w:themeColor="accent6"/>
      </w:tblBorders>
    </w:tblPr>
    <w:tblStylePr w:type="firstRow">
      <w:rPr>
        <w:sz w:val="24"/>
        <w:szCs w:val="24"/>
      </w:rPr>
      <w:tblPr/>
      <w:tcPr>
        <w:tcBorders>
          <w:top w:val="nil"/>
          <w:left w:val="nil"/>
          <w:bottom w:val="single" w:sz="24" w:space="0" w:color="E5FFFF" w:themeColor="accent6"/>
          <w:right w:val="nil"/>
          <w:insideH w:val="nil"/>
          <w:insideV w:val="nil"/>
        </w:tcBorders>
        <w:shd w:val="clear" w:color="auto" w:fill="FFFFFF" w:themeFill="background1"/>
      </w:tcPr>
    </w:tblStylePr>
    <w:tblStylePr w:type="lastRow">
      <w:tblPr/>
      <w:tcPr>
        <w:tcBorders>
          <w:top w:val="single" w:sz="8" w:space="0" w:color="E5FF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FFFF" w:themeColor="accent6"/>
          <w:insideH w:val="nil"/>
          <w:insideV w:val="nil"/>
        </w:tcBorders>
        <w:shd w:val="clear" w:color="auto" w:fill="FFFFFF" w:themeFill="background1"/>
      </w:tcPr>
    </w:tblStylePr>
    <w:tblStylePr w:type="lastCol">
      <w:tblPr/>
      <w:tcPr>
        <w:tcBorders>
          <w:top w:val="nil"/>
          <w:left w:val="single" w:sz="8" w:space="0" w:color="E5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FF" w:themeFill="accent6" w:themeFillTint="3F"/>
      </w:tcPr>
    </w:tblStylePr>
    <w:tblStylePr w:type="band1Horz">
      <w:tblPr/>
      <w:tcPr>
        <w:tcBorders>
          <w:top w:val="nil"/>
          <w:bottom w:val="nil"/>
          <w:insideH w:val="nil"/>
          <w:insideV w:val="nil"/>
        </w:tcBorders>
        <w:shd w:val="clear" w:color="auto" w:fill="F8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semiHidden/>
    <w:unhideWhenUsed/>
    <w:rsid w:val="00A652AD"/>
    <w:pPr>
      <w:spacing w:after="0" w:line="240" w:lineRule="auto"/>
    </w:pPr>
    <w:tblPr>
      <w:tblStyleRowBandSize w:val="1"/>
      <w:tblStyleColBandSize w:val="1"/>
      <w:tblBorders>
        <w:top w:val="single" w:sz="8" w:space="0" w:color="464D73" w:themeColor="text1" w:themeTint="BF"/>
        <w:left w:val="single" w:sz="8" w:space="0" w:color="464D73" w:themeColor="text1" w:themeTint="BF"/>
        <w:bottom w:val="single" w:sz="8" w:space="0" w:color="464D73" w:themeColor="text1" w:themeTint="BF"/>
        <w:right w:val="single" w:sz="8" w:space="0" w:color="464D73" w:themeColor="text1" w:themeTint="BF"/>
        <w:insideH w:val="single" w:sz="8" w:space="0" w:color="464D73" w:themeColor="text1" w:themeTint="BF"/>
      </w:tblBorders>
    </w:tblPr>
    <w:tblStylePr w:type="firstRow">
      <w:pPr>
        <w:spacing w:before="0" w:after="0" w:line="240" w:lineRule="auto"/>
      </w:pPr>
      <w:rPr>
        <w:b/>
        <w:bCs/>
        <w:color w:val="FFFFFF" w:themeColor="background1"/>
      </w:rPr>
      <w:tblPr/>
      <w:tcPr>
        <w:tcBorders>
          <w:top w:val="single" w:sz="8" w:space="0" w:color="464D73" w:themeColor="text1" w:themeTint="BF"/>
          <w:left w:val="single" w:sz="8" w:space="0" w:color="464D73" w:themeColor="text1" w:themeTint="BF"/>
          <w:bottom w:val="single" w:sz="8" w:space="0" w:color="464D73" w:themeColor="text1" w:themeTint="BF"/>
          <w:right w:val="single" w:sz="8" w:space="0" w:color="464D73" w:themeColor="text1" w:themeTint="BF"/>
          <w:insideH w:val="nil"/>
          <w:insideV w:val="nil"/>
        </w:tcBorders>
        <w:shd w:val="clear" w:color="auto" w:fill="1D2030" w:themeFill="text1"/>
      </w:tcPr>
    </w:tblStylePr>
    <w:tblStylePr w:type="lastRow">
      <w:pPr>
        <w:spacing w:before="0" w:after="0" w:line="240" w:lineRule="auto"/>
      </w:pPr>
      <w:rPr>
        <w:b/>
        <w:bCs/>
      </w:rPr>
      <w:tblPr/>
      <w:tcPr>
        <w:tcBorders>
          <w:top w:val="double" w:sz="6" w:space="0" w:color="464D73" w:themeColor="text1" w:themeTint="BF"/>
          <w:left w:val="single" w:sz="8" w:space="0" w:color="464D73" w:themeColor="text1" w:themeTint="BF"/>
          <w:bottom w:val="single" w:sz="8" w:space="0" w:color="464D73" w:themeColor="text1" w:themeTint="BF"/>
          <w:right w:val="single" w:sz="8" w:space="0" w:color="464D73" w:themeColor="text1" w:themeTint="BF"/>
          <w:insideH w:val="nil"/>
          <w:insideV w:val="nil"/>
        </w:tcBorders>
      </w:tcPr>
    </w:tblStylePr>
    <w:tblStylePr w:type="firstCol">
      <w:rPr>
        <w:b/>
        <w:bCs/>
      </w:rPr>
    </w:tblStylePr>
    <w:tblStylePr w:type="lastCol">
      <w:rPr>
        <w:b/>
        <w:bCs/>
      </w:rPr>
    </w:tblStylePr>
    <w:tblStylePr w:type="band1Vert">
      <w:tblPr/>
      <w:tcPr>
        <w:shd w:val="clear" w:color="auto" w:fill="BCC0D6" w:themeFill="text1" w:themeFillTint="3F"/>
      </w:tcPr>
    </w:tblStylePr>
    <w:tblStylePr w:type="band1Horz">
      <w:tblPr/>
      <w:tcPr>
        <w:tcBorders>
          <w:insideH w:val="nil"/>
          <w:insideV w:val="nil"/>
        </w:tcBorders>
        <w:shd w:val="clear" w:color="auto" w:fill="BCC0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semiHidden/>
    <w:unhideWhenUsed/>
    <w:rsid w:val="00A652AD"/>
    <w:pPr>
      <w:spacing w:after="0" w:line="240" w:lineRule="auto"/>
    </w:pPr>
    <w:tblPr>
      <w:tblStyleRowBandSize w:val="1"/>
      <w:tblStyleColBandSize w:val="1"/>
      <w:tblBorders>
        <w:top w:val="single" w:sz="8" w:space="0" w:color="1300EA" w:themeColor="accent1" w:themeTint="BF"/>
        <w:left w:val="single" w:sz="8" w:space="0" w:color="1300EA" w:themeColor="accent1" w:themeTint="BF"/>
        <w:bottom w:val="single" w:sz="8" w:space="0" w:color="1300EA" w:themeColor="accent1" w:themeTint="BF"/>
        <w:right w:val="single" w:sz="8" w:space="0" w:color="1300EA" w:themeColor="accent1" w:themeTint="BF"/>
        <w:insideH w:val="single" w:sz="8" w:space="0" w:color="1300EA" w:themeColor="accent1" w:themeTint="BF"/>
      </w:tblBorders>
    </w:tblPr>
    <w:tblStylePr w:type="firstRow">
      <w:pPr>
        <w:spacing w:before="0" w:after="0" w:line="240" w:lineRule="auto"/>
      </w:pPr>
      <w:rPr>
        <w:b/>
        <w:bCs/>
        <w:color w:val="FFFFFF" w:themeColor="background1"/>
      </w:rPr>
      <w:tblPr/>
      <w:tcPr>
        <w:tcBorders>
          <w:top w:val="single" w:sz="8" w:space="0" w:color="1300EA" w:themeColor="accent1" w:themeTint="BF"/>
          <w:left w:val="single" w:sz="8" w:space="0" w:color="1300EA" w:themeColor="accent1" w:themeTint="BF"/>
          <w:bottom w:val="single" w:sz="8" w:space="0" w:color="1300EA" w:themeColor="accent1" w:themeTint="BF"/>
          <w:right w:val="single" w:sz="8" w:space="0" w:color="1300EA" w:themeColor="accent1" w:themeTint="BF"/>
          <w:insideH w:val="nil"/>
          <w:insideV w:val="nil"/>
        </w:tcBorders>
        <w:shd w:val="clear" w:color="auto" w:fill="0C008E" w:themeFill="accent1"/>
      </w:tcPr>
    </w:tblStylePr>
    <w:tblStylePr w:type="lastRow">
      <w:pPr>
        <w:spacing w:before="0" w:after="0" w:line="240" w:lineRule="auto"/>
      </w:pPr>
      <w:rPr>
        <w:b/>
        <w:bCs/>
      </w:rPr>
      <w:tblPr/>
      <w:tcPr>
        <w:tcBorders>
          <w:top w:val="double" w:sz="6" w:space="0" w:color="1300EA" w:themeColor="accent1" w:themeTint="BF"/>
          <w:left w:val="single" w:sz="8" w:space="0" w:color="1300EA" w:themeColor="accent1" w:themeTint="BF"/>
          <w:bottom w:val="single" w:sz="8" w:space="0" w:color="1300EA" w:themeColor="accent1" w:themeTint="BF"/>
          <w:right w:val="single" w:sz="8" w:space="0" w:color="1300EA"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A4FF" w:themeFill="accent1" w:themeFillTint="3F"/>
      </w:tcPr>
    </w:tblStylePr>
    <w:tblStylePr w:type="band1Horz">
      <w:tblPr/>
      <w:tcPr>
        <w:tcBorders>
          <w:insideH w:val="nil"/>
          <w:insideV w:val="nil"/>
        </w:tcBorders>
        <w:shd w:val="clear" w:color="auto" w:fill="ABA4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semiHidden/>
    <w:unhideWhenUsed/>
    <w:rsid w:val="00A652AD"/>
    <w:pPr>
      <w:spacing w:after="0" w:line="240" w:lineRule="auto"/>
    </w:pPr>
    <w:tblPr>
      <w:tblStyleRowBandSize w:val="1"/>
      <w:tblStyleColBandSize w:val="1"/>
      <w:tblBorders>
        <w:top w:val="single" w:sz="8" w:space="0" w:color="606DE4" w:themeColor="accent2" w:themeTint="BF"/>
        <w:left w:val="single" w:sz="8" w:space="0" w:color="606DE4" w:themeColor="accent2" w:themeTint="BF"/>
        <w:bottom w:val="single" w:sz="8" w:space="0" w:color="606DE4" w:themeColor="accent2" w:themeTint="BF"/>
        <w:right w:val="single" w:sz="8" w:space="0" w:color="606DE4" w:themeColor="accent2" w:themeTint="BF"/>
        <w:insideH w:val="single" w:sz="8" w:space="0" w:color="606DE4" w:themeColor="accent2" w:themeTint="BF"/>
      </w:tblBorders>
    </w:tblPr>
    <w:tblStylePr w:type="firstRow">
      <w:pPr>
        <w:spacing w:before="0" w:after="0" w:line="240" w:lineRule="auto"/>
      </w:pPr>
      <w:rPr>
        <w:b/>
        <w:bCs/>
        <w:color w:val="FFFFFF" w:themeColor="background1"/>
      </w:rPr>
      <w:tblPr/>
      <w:tcPr>
        <w:tcBorders>
          <w:top w:val="single" w:sz="8" w:space="0" w:color="606DE4" w:themeColor="accent2" w:themeTint="BF"/>
          <w:left w:val="single" w:sz="8" w:space="0" w:color="606DE4" w:themeColor="accent2" w:themeTint="BF"/>
          <w:bottom w:val="single" w:sz="8" w:space="0" w:color="606DE4" w:themeColor="accent2" w:themeTint="BF"/>
          <w:right w:val="single" w:sz="8" w:space="0" w:color="606DE4" w:themeColor="accent2" w:themeTint="BF"/>
          <w:insideH w:val="nil"/>
          <w:insideV w:val="nil"/>
        </w:tcBorders>
        <w:shd w:val="clear" w:color="auto" w:fill="2B3DDB" w:themeFill="accent2"/>
      </w:tcPr>
    </w:tblStylePr>
    <w:tblStylePr w:type="lastRow">
      <w:pPr>
        <w:spacing w:before="0" w:after="0" w:line="240" w:lineRule="auto"/>
      </w:pPr>
      <w:rPr>
        <w:b/>
        <w:bCs/>
      </w:rPr>
      <w:tblPr/>
      <w:tcPr>
        <w:tcBorders>
          <w:top w:val="double" w:sz="6" w:space="0" w:color="606DE4" w:themeColor="accent2" w:themeTint="BF"/>
          <w:left w:val="single" w:sz="8" w:space="0" w:color="606DE4" w:themeColor="accent2" w:themeTint="BF"/>
          <w:bottom w:val="single" w:sz="8" w:space="0" w:color="606DE4" w:themeColor="accent2" w:themeTint="BF"/>
          <w:right w:val="single" w:sz="8" w:space="0" w:color="606D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CEF6" w:themeFill="accent2" w:themeFillTint="3F"/>
      </w:tcPr>
    </w:tblStylePr>
    <w:tblStylePr w:type="band1Horz">
      <w:tblPr/>
      <w:tcPr>
        <w:tcBorders>
          <w:insideH w:val="nil"/>
          <w:insideV w:val="nil"/>
        </w:tcBorders>
        <w:shd w:val="clear" w:color="auto" w:fill="CAC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semiHidden/>
    <w:unhideWhenUsed/>
    <w:rsid w:val="00A652AD"/>
    <w:pPr>
      <w:spacing w:after="0" w:line="240" w:lineRule="auto"/>
    </w:pPr>
    <w:tblPr>
      <w:tblStyleRowBandSize w:val="1"/>
      <w:tblStyleColBandSize w:val="1"/>
      <w:tblBorders>
        <w:top w:val="single" w:sz="8" w:space="0" w:color="D6F3AA" w:themeColor="accent3" w:themeTint="BF"/>
        <w:left w:val="single" w:sz="8" w:space="0" w:color="D6F3AA" w:themeColor="accent3" w:themeTint="BF"/>
        <w:bottom w:val="single" w:sz="8" w:space="0" w:color="D6F3AA" w:themeColor="accent3" w:themeTint="BF"/>
        <w:right w:val="single" w:sz="8" w:space="0" w:color="D6F3AA" w:themeColor="accent3" w:themeTint="BF"/>
        <w:insideH w:val="single" w:sz="8" w:space="0" w:color="D6F3AA" w:themeColor="accent3" w:themeTint="BF"/>
      </w:tblBorders>
    </w:tblPr>
    <w:tblStylePr w:type="firstRow">
      <w:pPr>
        <w:spacing w:before="0" w:after="0" w:line="240" w:lineRule="auto"/>
      </w:pPr>
      <w:rPr>
        <w:b/>
        <w:bCs/>
        <w:color w:val="FFFFFF" w:themeColor="background1"/>
      </w:rPr>
      <w:tblPr/>
      <w:tcPr>
        <w:tcBorders>
          <w:top w:val="single" w:sz="8" w:space="0" w:color="D6F3AA" w:themeColor="accent3" w:themeTint="BF"/>
          <w:left w:val="single" w:sz="8" w:space="0" w:color="D6F3AA" w:themeColor="accent3" w:themeTint="BF"/>
          <w:bottom w:val="single" w:sz="8" w:space="0" w:color="D6F3AA" w:themeColor="accent3" w:themeTint="BF"/>
          <w:right w:val="single" w:sz="8" w:space="0" w:color="D6F3AA" w:themeColor="accent3" w:themeTint="BF"/>
          <w:insideH w:val="nil"/>
          <w:insideV w:val="nil"/>
        </w:tcBorders>
        <w:shd w:val="clear" w:color="auto" w:fill="C9F08E" w:themeFill="accent3"/>
      </w:tcPr>
    </w:tblStylePr>
    <w:tblStylePr w:type="lastRow">
      <w:pPr>
        <w:spacing w:before="0" w:after="0" w:line="240" w:lineRule="auto"/>
      </w:pPr>
      <w:rPr>
        <w:b/>
        <w:bCs/>
      </w:rPr>
      <w:tblPr/>
      <w:tcPr>
        <w:tcBorders>
          <w:top w:val="double" w:sz="6" w:space="0" w:color="D6F3AA" w:themeColor="accent3" w:themeTint="BF"/>
          <w:left w:val="single" w:sz="8" w:space="0" w:color="D6F3AA" w:themeColor="accent3" w:themeTint="BF"/>
          <w:bottom w:val="single" w:sz="8" w:space="0" w:color="D6F3AA" w:themeColor="accent3" w:themeTint="BF"/>
          <w:right w:val="single" w:sz="8" w:space="0" w:color="D6F3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F1FBE3" w:themeFill="accent3" w:themeFillTint="3F"/>
      </w:tcPr>
    </w:tblStylePr>
    <w:tblStylePr w:type="band1Horz">
      <w:tblPr/>
      <w:tcPr>
        <w:tcBorders>
          <w:insideH w:val="nil"/>
          <w:insideV w:val="nil"/>
        </w:tcBorders>
        <w:shd w:val="clear" w:color="auto" w:fill="F1FBE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semiHidden/>
    <w:unhideWhenUsed/>
    <w:rsid w:val="00A652AD"/>
    <w:pPr>
      <w:spacing w:after="0" w:line="240" w:lineRule="auto"/>
    </w:pPr>
    <w:tblPr>
      <w:tblStyleRowBandSize w:val="1"/>
      <w:tblStyleColBandSize w:val="1"/>
      <w:tblBorders>
        <w:top w:val="single" w:sz="8" w:space="0" w:color="FFFFB4" w:themeColor="accent4" w:themeTint="BF"/>
        <w:left w:val="single" w:sz="8" w:space="0" w:color="FFFFB4" w:themeColor="accent4" w:themeTint="BF"/>
        <w:bottom w:val="single" w:sz="8" w:space="0" w:color="FFFFB4" w:themeColor="accent4" w:themeTint="BF"/>
        <w:right w:val="single" w:sz="8" w:space="0" w:color="FFFFB4" w:themeColor="accent4" w:themeTint="BF"/>
        <w:insideH w:val="single" w:sz="8" w:space="0" w:color="FFFFB4" w:themeColor="accent4" w:themeTint="BF"/>
      </w:tblBorders>
    </w:tblPr>
    <w:tblStylePr w:type="firstRow">
      <w:pPr>
        <w:spacing w:before="0" w:after="0" w:line="240" w:lineRule="auto"/>
      </w:pPr>
      <w:rPr>
        <w:b/>
        <w:bCs/>
        <w:color w:val="FFFFFF" w:themeColor="background1"/>
      </w:rPr>
      <w:tblPr/>
      <w:tcPr>
        <w:tcBorders>
          <w:top w:val="single" w:sz="8" w:space="0" w:color="FFFFB4" w:themeColor="accent4" w:themeTint="BF"/>
          <w:left w:val="single" w:sz="8" w:space="0" w:color="FFFFB4" w:themeColor="accent4" w:themeTint="BF"/>
          <w:bottom w:val="single" w:sz="8" w:space="0" w:color="FFFFB4" w:themeColor="accent4" w:themeTint="BF"/>
          <w:right w:val="single" w:sz="8" w:space="0" w:color="FFFFB4" w:themeColor="accent4" w:themeTint="BF"/>
          <w:insideH w:val="nil"/>
          <w:insideV w:val="nil"/>
        </w:tcBorders>
        <w:shd w:val="clear" w:color="auto" w:fill="FFFF9C" w:themeFill="accent4"/>
      </w:tcPr>
    </w:tblStylePr>
    <w:tblStylePr w:type="lastRow">
      <w:pPr>
        <w:spacing w:before="0" w:after="0" w:line="240" w:lineRule="auto"/>
      </w:pPr>
      <w:rPr>
        <w:b/>
        <w:bCs/>
      </w:rPr>
      <w:tblPr/>
      <w:tcPr>
        <w:tcBorders>
          <w:top w:val="double" w:sz="6" w:space="0" w:color="FFFFB4" w:themeColor="accent4" w:themeTint="BF"/>
          <w:left w:val="single" w:sz="8" w:space="0" w:color="FFFFB4" w:themeColor="accent4" w:themeTint="BF"/>
          <w:bottom w:val="single" w:sz="8" w:space="0" w:color="FFFFB4" w:themeColor="accent4" w:themeTint="BF"/>
          <w:right w:val="single" w:sz="8" w:space="0" w:color="FFFFB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E6" w:themeFill="accent4" w:themeFillTint="3F"/>
      </w:tcPr>
    </w:tblStylePr>
    <w:tblStylePr w:type="band1Horz">
      <w:tblPr/>
      <w:tcPr>
        <w:tcBorders>
          <w:insideH w:val="nil"/>
          <w:insideV w:val="nil"/>
        </w:tcBorders>
        <w:shd w:val="clear" w:color="auto" w:fill="FFFFE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semiHidden/>
    <w:unhideWhenUsed/>
    <w:rsid w:val="00A652AD"/>
    <w:pPr>
      <w:spacing w:after="0" w:line="240" w:lineRule="auto"/>
    </w:pPr>
    <w:tblPr>
      <w:tblStyleRowBandSize w:val="1"/>
      <w:tblStyleColBandSize w:val="1"/>
      <w:tbl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single" w:sz="8" w:space="0" w:color="E8E8E8" w:themeColor="accent5" w:themeTint="BF"/>
      </w:tblBorders>
    </w:tblPr>
    <w:tblStylePr w:type="firstRow">
      <w:pPr>
        <w:spacing w:before="0" w:after="0" w:line="240" w:lineRule="auto"/>
      </w:pPr>
      <w:rPr>
        <w:b/>
        <w:bCs/>
        <w:color w:val="FFFFFF" w:themeColor="background1"/>
      </w:rPr>
      <w:tblPr/>
      <w:tcPr>
        <w:tcBorders>
          <w:top w:val="single" w:sz="8"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nil"/>
          <w:insideV w:val="nil"/>
        </w:tcBorders>
        <w:shd w:val="clear" w:color="auto" w:fill="E1E1E1" w:themeFill="accent5"/>
      </w:tcPr>
    </w:tblStylePr>
    <w:tblStylePr w:type="lastRow">
      <w:pPr>
        <w:spacing w:before="0" w:after="0" w:line="240" w:lineRule="auto"/>
      </w:pPr>
      <w:rPr>
        <w:b/>
        <w:bCs/>
      </w:rPr>
      <w:tblPr/>
      <w:tcPr>
        <w:tcBorders>
          <w:top w:val="double" w:sz="6" w:space="0" w:color="E8E8E8" w:themeColor="accent5" w:themeTint="BF"/>
          <w:left w:val="single" w:sz="8" w:space="0" w:color="E8E8E8" w:themeColor="accent5" w:themeTint="BF"/>
          <w:bottom w:val="single" w:sz="8" w:space="0" w:color="E8E8E8" w:themeColor="accent5" w:themeTint="BF"/>
          <w:right w:val="single" w:sz="8" w:space="0" w:color="E8E8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F7F7" w:themeFill="accent5" w:themeFillTint="3F"/>
      </w:tcPr>
    </w:tblStylePr>
    <w:tblStylePr w:type="band1Horz">
      <w:tblPr/>
      <w:tcPr>
        <w:tcBorders>
          <w:insideH w:val="nil"/>
          <w:insideV w:val="nil"/>
        </w:tcBorders>
        <w:shd w:val="clear" w:color="auto" w:fill="F7F7F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semiHidden/>
    <w:unhideWhenUsed/>
    <w:rsid w:val="00A652AD"/>
    <w:pPr>
      <w:spacing w:after="0" w:line="240" w:lineRule="auto"/>
    </w:pPr>
    <w:tblPr>
      <w:tblStyleRowBandSize w:val="1"/>
      <w:tblStyleColBandSize w:val="1"/>
      <w:tblBorders>
        <w:top w:val="single" w:sz="8" w:space="0" w:color="EBFFFF" w:themeColor="accent6" w:themeTint="BF"/>
        <w:left w:val="single" w:sz="8" w:space="0" w:color="EBFFFF" w:themeColor="accent6" w:themeTint="BF"/>
        <w:bottom w:val="single" w:sz="8" w:space="0" w:color="EBFFFF" w:themeColor="accent6" w:themeTint="BF"/>
        <w:right w:val="single" w:sz="8" w:space="0" w:color="EBFFFF" w:themeColor="accent6" w:themeTint="BF"/>
        <w:insideH w:val="single" w:sz="8" w:space="0" w:color="EBFFFF" w:themeColor="accent6" w:themeTint="BF"/>
      </w:tblBorders>
    </w:tblPr>
    <w:tblStylePr w:type="firstRow">
      <w:pPr>
        <w:spacing w:before="0" w:after="0" w:line="240" w:lineRule="auto"/>
      </w:pPr>
      <w:rPr>
        <w:b/>
        <w:bCs/>
        <w:color w:val="FFFFFF" w:themeColor="background1"/>
      </w:rPr>
      <w:tblPr/>
      <w:tcPr>
        <w:tcBorders>
          <w:top w:val="single" w:sz="8" w:space="0" w:color="EBFFFF" w:themeColor="accent6" w:themeTint="BF"/>
          <w:left w:val="single" w:sz="8" w:space="0" w:color="EBFFFF" w:themeColor="accent6" w:themeTint="BF"/>
          <w:bottom w:val="single" w:sz="8" w:space="0" w:color="EBFFFF" w:themeColor="accent6" w:themeTint="BF"/>
          <w:right w:val="single" w:sz="8" w:space="0" w:color="EBFFFF" w:themeColor="accent6" w:themeTint="BF"/>
          <w:insideH w:val="nil"/>
          <w:insideV w:val="nil"/>
        </w:tcBorders>
        <w:shd w:val="clear" w:color="auto" w:fill="E5FFFF" w:themeFill="accent6"/>
      </w:tcPr>
    </w:tblStylePr>
    <w:tblStylePr w:type="lastRow">
      <w:pPr>
        <w:spacing w:before="0" w:after="0" w:line="240" w:lineRule="auto"/>
      </w:pPr>
      <w:rPr>
        <w:b/>
        <w:bCs/>
      </w:rPr>
      <w:tblPr/>
      <w:tcPr>
        <w:tcBorders>
          <w:top w:val="double" w:sz="6" w:space="0" w:color="EBFFFF" w:themeColor="accent6" w:themeTint="BF"/>
          <w:left w:val="single" w:sz="8" w:space="0" w:color="EBFFFF" w:themeColor="accent6" w:themeTint="BF"/>
          <w:bottom w:val="single" w:sz="8" w:space="0" w:color="EBFFFF" w:themeColor="accent6" w:themeTint="BF"/>
          <w:right w:val="single" w:sz="8" w:space="0" w:color="EB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FFF" w:themeFill="accent6" w:themeFillTint="3F"/>
      </w:tcPr>
    </w:tblStylePr>
    <w:tblStylePr w:type="band1Horz">
      <w:tblPr/>
      <w:tcPr>
        <w:tcBorders>
          <w:insideH w:val="nil"/>
          <w:insideV w:val="nil"/>
        </w:tcBorders>
        <w:shd w:val="clear" w:color="auto" w:fill="F8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203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D2030" w:themeFill="text1"/>
      </w:tcPr>
    </w:tblStylePr>
    <w:tblStylePr w:type="lastCol">
      <w:rPr>
        <w:b/>
        <w:bCs/>
        <w:color w:val="FFFFFF" w:themeColor="background1"/>
      </w:rPr>
      <w:tblPr/>
      <w:tcPr>
        <w:tcBorders>
          <w:left w:val="nil"/>
          <w:right w:val="nil"/>
          <w:insideH w:val="nil"/>
          <w:insideV w:val="nil"/>
        </w:tcBorders>
        <w:shd w:val="clear" w:color="auto" w:fill="1D203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C008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C008E" w:themeFill="accent1"/>
      </w:tcPr>
    </w:tblStylePr>
    <w:tblStylePr w:type="lastCol">
      <w:rPr>
        <w:b/>
        <w:bCs/>
        <w:color w:val="FFFFFF" w:themeColor="background1"/>
      </w:rPr>
      <w:tblPr/>
      <w:tcPr>
        <w:tcBorders>
          <w:left w:val="nil"/>
          <w:right w:val="nil"/>
          <w:insideH w:val="nil"/>
          <w:insideV w:val="nil"/>
        </w:tcBorders>
        <w:shd w:val="clear" w:color="auto" w:fill="0C008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3DD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3DDB" w:themeFill="accent2"/>
      </w:tcPr>
    </w:tblStylePr>
    <w:tblStylePr w:type="lastCol">
      <w:rPr>
        <w:b/>
        <w:bCs/>
        <w:color w:val="FFFFFF" w:themeColor="background1"/>
      </w:rPr>
      <w:tblPr/>
      <w:tcPr>
        <w:tcBorders>
          <w:left w:val="nil"/>
          <w:right w:val="nil"/>
          <w:insideH w:val="nil"/>
          <w:insideV w:val="nil"/>
        </w:tcBorders>
        <w:shd w:val="clear" w:color="auto" w:fill="2B3DD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9F0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9F08E" w:themeFill="accent3"/>
      </w:tcPr>
    </w:tblStylePr>
    <w:tblStylePr w:type="lastCol">
      <w:rPr>
        <w:b/>
        <w:bCs/>
        <w:color w:val="FFFFFF" w:themeColor="background1"/>
      </w:rPr>
      <w:tblPr/>
      <w:tcPr>
        <w:tcBorders>
          <w:left w:val="nil"/>
          <w:right w:val="nil"/>
          <w:insideH w:val="nil"/>
          <w:insideV w:val="nil"/>
        </w:tcBorders>
        <w:shd w:val="clear" w:color="auto" w:fill="C9F0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9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9C" w:themeFill="accent4"/>
      </w:tcPr>
    </w:tblStylePr>
    <w:tblStylePr w:type="lastCol">
      <w:rPr>
        <w:b/>
        <w:bCs/>
        <w:color w:val="FFFFFF" w:themeColor="background1"/>
      </w:rPr>
      <w:tblPr/>
      <w:tcPr>
        <w:tcBorders>
          <w:left w:val="nil"/>
          <w:right w:val="nil"/>
          <w:insideH w:val="nil"/>
          <w:insideV w:val="nil"/>
        </w:tcBorders>
        <w:shd w:val="clear" w:color="auto" w:fill="FFFF9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E1E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E1E1" w:themeFill="accent5"/>
      </w:tcPr>
    </w:tblStylePr>
    <w:tblStylePr w:type="lastCol">
      <w:rPr>
        <w:b/>
        <w:bCs/>
        <w:color w:val="FFFFFF" w:themeColor="background1"/>
      </w:rPr>
      <w:tblPr/>
      <w:tcPr>
        <w:tcBorders>
          <w:left w:val="nil"/>
          <w:right w:val="nil"/>
          <w:insideH w:val="nil"/>
          <w:insideV w:val="nil"/>
        </w:tcBorders>
        <w:shd w:val="clear" w:color="auto" w:fill="E1E1E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semiHidden/>
    <w:unhideWhenUsed/>
    <w:rsid w:val="00A652A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FFFF" w:themeFill="accent6"/>
      </w:tcPr>
    </w:tblStylePr>
    <w:tblStylePr w:type="lastCol">
      <w:rPr>
        <w:b/>
        <w:bCs/>
        <w:color w:val="FFFFFF" w:themeColor="background1"/>
      </w:rPr>
      <w:tblPr/>
      <w:tcPr>
        <w:tcBorders>
          <w:left w:val="nil"/>
          <w:right w:val="nil"/>
          <w:insideH w:val="nil"/>
          <w:insideV w:val="nil"/>
        </w:tcBorders>
        <w:shd w:val="clear" w:color="auto" w:fill="E5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98"/>
    <w:semiHidden/>
    <w:rsid w:val="00A652A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8"/>
    <w:semiHidden/>
    <w:rsid w:val="00A652AD"/>
    <w:pPr>
      <w:spacing w:after="0" w:line="240" w:lineRule="auto"/>
    </w:pPr>
    <w:tblPr>
      <w:tblStyleRowBandSize w:val="1"/>
      <w:tblStyleColBandSize w:val="1"/>
      <w:tblBorders>
        <w:top w:val="single" w:sz="4" w:space="0" w:color="777FAD" w:themeColor="text1" w:themeTint="80"/>
        <w:bottom w:val="single" w:sz="4" w:space="0" w:color="777FAD" w:themeColor="text1" w:themeTint="80"/>
      </w:tblBorders>
    </w:tblPr>
    <w:tblStylePr w:type="firstRow">
      <w:rPr>
        <w:b/>
        <w:bCs/>
      </w:rPr>
      <w:tblPr/>
      <w:tcPr>
        <w:tcBorders>
          <w:bottom w:val="single" w:sz="4" w:space="0" w:color="777FAD" w:themeColor="text1" w:themeTint="80"/>
        </w:tcBorders>
      </w:tcPr>
    </w:tblStylePr>
    <w:tblStylePr w:type="lastRow">
      <w:rPr>
        <w:b/>
        <w:bCs/>
      </w:rPr>
      <w:tblPr/>
      <w:tcPr>
        <w:tcBorders>
          <w:top w:val="single" w:sz="4" w:space="0" w:color="777FAD" w:themeColor="text1" w:themeTint="80"/>
        </w:tcBorders>
      </w:tcPr>
    </w:tblStylePr>
    <w:tblStylePr w:type="firstCol">
      <w:rPr>
        <w:b/>
        <w:bCs/>
      </w:rPr>
    </w:tblStylePr>
    <w:tblStylePr w:type="lastCol">
      <w:rPr>
        <w:b/>
        <w:bCs/>
      </w:rPr>
    </w:tblStylePr>
    <w:tblStylePr w:type="band1Vert">
      <w:tblPr/>
      <w:tcPr>
        <w:tcBorders>
          <w:left w:val="single" w:sz="4" w:space="0" w:color="777FAD" w:themeColor="text1" w:themeTint="80"/>
          <w:right w:val="single" w:sz="4" w:space="0" w:color="777FAD" w:themeColor="text1" w:themeTint="80"/>
        </w:tcBorders>
      </w:tcPr>
    </w:tblStylePr>
    <w:tblStylePr w:type="band2Vert">
      <w:tblPr/>
      <w:tcPr>
        <w:tcBorders>
          <w:left w:val="single" w:sz="4" w:space="0" w:color="777FAD" w:themeColor="text1" w:themeTint="80"/>
          <w:right w:val="single" w:sz="4" w:space="0" w:color="777FAD" w:themeColor="text1" w:themeTint="80"/>
        </w:tcBorders>
      </w:tcPr>
    </w:tblStylePr>
    <w:tblStylePr w:type="band1Horz">
      <w:tblPr/>
      <w:tcPr>
        <w:tcBorders>
          <w:top w:val="single" w:sz="4" w:space="0" w:color="777FAD" w:themeColor="text1" w:themeTint="80"/>
          <w:bottom w:val="single" w:sz="4" w:space="0" w:color="777FAD" w:themeColor="text1" w:themeTint="80"/>
        </w:tcBorders>
      </w:tcPr>
    </w:tblStylePr>
  </w:style>
  <w:style w:type="table" w:styleId="PlainTable3">
    <w:name w:val="Plain Table 3"/>
    <w:basedOn w:val="TableNormal"/>
    <w:uiPriority w:val="98"/>
    <w:semiHidden/>
    <w:rsid w:val="00A652AD"/>
    <w:pPr>
      <w:spacing w:after="0" w:line="240" w:lineRule="auto"/>
    </w:pPr>
    <w:tblPr>
      <w:tblStyleRowBandSize w:val="1"/>
      <w:tblStyleColBandSize w:val="1"/>
    </w:tblPr>
    <w:tblStylePr w:type="firstRow">
      <w:rPr>
        <w:b/>
        <w:bCs/>
        <w:caps/>
      </w:rPr>
      <w:tblPr/>
      <w:tcPr>
        <w:tcBorders>
          <w:bottom w:val="single" w:sz="4" w:space="0" w:color="777FA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77FAD"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8"/>
    <w:semiHidden/>
    <w:rsid w:val="00A652A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8"/>
    <w:semiHidden/>
    <w:rsid w:val="00A652A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77FAD"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77FAD"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77FAD"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77FAD"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8"/>
    <w:semiHidden/>
    <w:unhideWhenUsed/>
    <w:rsid w:val="00A652AD"/>
    <w:pPr>
      <w:spacing w:line="240" w:lineRule="atLeast"/>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semiHidden/>
    <w:unhideWhenUsed/>
    <w:rsid w:val="00A652AD"/>
    <w:pPr>
      <w:spacing w:line="240" w:lineRule="atLeast"/>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semiHidden/>
    <w:unhideWhenUsed/>
    <w:rsid w:val="00A652AD"/>
    <w:pPr>
      <w:spacing w:line="240" w:lineRule="atLeast"/>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semiHidden/>
    <w:unhideWhenUsed/>
    <w:rsid w:val="00A652AD"/>
    <w:pPr>
      <w:spacing w:line="240" w:lineRule="atLeast"/>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semiHidden/>
    <w:unhideWhenUsed/>
    <w:rsid w:val="00A652AD"/>
    <w:pPr>
      <w:spacing w:line="240" w:lineRule="atLeast"/>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semiHidden/>
    <w:unhideWhenUsed/>
    <w:rsid w:val="00A652AD"/>
    <w:pPr>
      <w:spacing w:line="240" w:lineRule="atLeast"/>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semiHidden/>
    <w:unhideWhenUsed/>
    <w:rsid w:val="00A652AD"/>
    <w:pPr>
      <w:spacing w:line="240" w:lineRule="atLeast"/>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semiHidden/>
    <w:unhideWhenUsed/>
    <w:rsid w:val="00A652AD"/>
    <w:pPr>
      <w:spacing w:line="240" w:lineRule="atLeast"/>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semiHidden/>
    <w:unhideWhenUsed/>
    <w:rsid w:val="00A652AD"/>
    <w:pPr>
      <w:spacing w:line="240" w:lineRule="atLeast"/>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semiHidden/>
    <w:unhideWhenUsed/>
    <w:rsid w:val="00A652AD"/>
    <w:pPr>
      <w:spacing w:line="240" w:lineRule="atLeast"/>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semiHidden/>
    <w:unhideWhenUsed/>
    <w:rsid w:val="00A652AD"/>
    <w:pPr>
      <w:spacing w:line="240" w:lineRule="atLeast"/>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semiHidden/>
    <w:unhideWhenUsed/>
    <w:rsid w:val="00A652AD"/>
    <w:pPr>
      <w:spacing w:line="240" w:lineRule="atLeast"/>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semiHidden/>
    <w:unhideWhenUsed/>
    <w:rsid w:val="00A652AD"/>
    <w:pPr>
      <w:spacing w:line="240" w:lineRule="atLeast"/>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semiHidden/>
    <w:unhideWhenUsed/>
    <w:rsid w:val="00A652AD"/>
    <w:pPr>
      <w:spacing w:line="240" w:lineRule="atLeast"/>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semiHidden/>
    <w:unhideWhenUsed/>
    <w:rsid w:val="00A652AD"/>
    <w:pPr>
      <w:spacing w:line="240" w:lineRule="atLeast"/>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semiHidden/>
    <w:unhideWhenUsed/>
    <w:rsid w:val="00A652AD"/>
    <w:pPr>
      <w:spacing w:line="240" w:lineRule="atLeast"/>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semiHidden/>
    <w:unhideWhenUsed/>
    <w:rsid w:val="00A652AD"/>
    <w:pPr>
      <w:spacing w:line="240" w:lineRule="atLeast"/>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8"/>
    <w:semiHidden/>
    <w:unhideWhenUsed/>
    <w:rsid w:val="00A652AD"/>
    <w:pPr>
      <w:spacing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semiHidden/>
    <w:unhideWhenUsed/>
    <w:rsid w:val="00A652AD"/>
    <w:pPr>
      <w:spacing w:line="240" w:lineRule="atLeast"/>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semiHidden/>
    <w:unhideWhenUsed/>
    <w:rsid w:val="00A652AD"/>
    <w:pPr>
      <w:spacing w:line="240" w:lineRule="atLeast"/>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semiHidden/>
    <w:unhideWhenUsed/>
    <w:rsid w:val="00A652AD"/>
    <w:pPr>
      <w:spacing w:line="240" w:lineRule="atLeast"/>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semiHidden/>
    <w:unhideWhenUsed/>
    <w:rsid w:val="00A652AD"/>
    <w:pPr>
      <w:spacing w:line="24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semiHidden/>
    <w:unhideWhenUsed/>
    <w:rsid w:val="00A652AD"/>
    <w:pPr>
      <w:spacing w:line="240" w:lineRule="atLeast"/>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semiHidden/>
    <w:unhideWhenUsed/>
    <w:rsid w:val="00A652AD"/>
    <w:pPr>
      <w:spacing w:line="240" w:lineRule="atLeast"/>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semiHidden/>
    <w:unhideWhenUsed/>
    <w:rsid w:val="00A652AD"/>
    <w:pPr>
      <w:spacing w:line="240" w:lineRule="atLeast"/>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98"/>
    <w:semiHidden/>
    <w:rsid w:val="00A652A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8"/>
    <w:semiHidden/>
    <w:unhideWhenUsed/>
    <w:rsid w:val="00A652AD"/>
    <w:pPr>
      <w:spacing w:line="240" w:lineRule="atLeast"/>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semiHidden/>
    <w:unhideWhenUsed/>
    <w:rsid w:val="00A652AD"/>
    <w:pPr>
      <w:spacing w:line="240" w:lineRule="atLeast"/>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semiHidden/>
    <w:unhideWhenUsed/>
    <w:rsid w:val="00A652AD"/>
    <w:pPr>
      <w:spacing w:line="240" w:lineRule="atLeast"/>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semiHidden/>
    <w:unhideWhenUsed/>
    <w:rsid w:val="00A652AD"/>
    <w:pPr>
      <w:spacing w:line="240" w:lineRule="atLeast"/>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semiHidden/>
    <w:unhideWhenUsed/>
    <w:rsid w:val="00A652AD"/>
    <w:pPr>
      <w:spacing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semiHidden/>
    <w:unhideWhenUsed/>
    <w:rsid w:val="00A652AD"/>
    <w:pPr>
      <w:spacing w:line="240" w:lineRule="atLeast"/>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semiHidden/>
    <w:unhideWhenUsed/>
    <w:rsid w:val="00A652AD"/>
    <w:pPr>
      <w:spacing w:line="240" w:lineRule="atLeast"/>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semiHidden/>
    <w:unhideWhenUsed/>
    <w:rsid w:val="00A652AD"/>
    <w:pPr>
      <w:spacing w:line="240" w:lineRule="atLeast"/>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8"/>
    <w:semiHidden/>
    <w:unhideWhenUsed/>
    <w:rsid w:val="00A652AD"/>
    <w:pPr>
      <w:spacing w:line="240" w:lineRule="atLeast"/>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semiHidden/>
    <w:unhideWhenUsed/>
    <w:rsid w:val="00A652AD"/>
    <w:pPr>
      <w:spacing w:line="240" w:lineRule="atLeast"/>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semiHidden/>
    <w:unhideWhenUsed/>
    <w:rsid w:val="00A652AD"/>
    <w:pPr>
      <w:spacing w:line="240" w:lineRule="atLeast"/>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semiHidden/>
    <w:unhideWhenUsed/>
    <w:rsid w:val="00A652AD"/>
    <w:pPr>
      <w:spacing w:line="240" w:lineRule="atLeast"/>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semiHidden/>
    <w:unhideWhenUsed/>
    <w:rsid w:val="00A652AD"/>
    <w:pPr>
      <w:spacing w:line="240" w:lineRule="atLeast"/>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semiHidden/>
    <w:unhideWhenUsed/>
    <w:rsid w:val="00A652AD"/>
    <w:pPr>
      <w:spacing w:line="240" w:lineRule="atLeast"/>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semiHidden/>
    <w:unhideWhenUsed/>
    <w:rsid w:val="00A652AD"/>
    <w:pPr>
      <w:spacing w:line="240" w:lineRule="atLeast"/>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8"/>
    <w:semiHidden/>
    <w:unhideWhenUsed/>
    <w:rsid w:val="00A652AD"/>
    <w:pPr>
      <w:spacing w:line="240" w:lineRule="atLeast"/>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8"/>
    <w:semiHidden/>
    <w:unhideWhenUsed/>
    <w:rsid w:val="00A652AD"/>
    <w:pPr>
      <w:spacing w:line="240" w:lineRule="atLeast"/>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8"/>
    <w:semiHidden/>
    <w:unhideWhenUsed/>
    <w:rsid w:val="00A652AD"/>
    <w:pPr>
      <w:spacing w:line="240" w:lineRule="atLeast"/>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verDetail">
    <w:name w:val="Cover Detail"/>
    <w:basedOn w:val="CoverSubtext"/>
    <w:uiPriority w:val="98"/>
    <w:semiHidden/>
    <w:qFormat/>
    <w:rsid w:val="00C6484E"/>
  </w:style>
  <w:style w:type="paragraph" w:customStyle="1" w:styleId="AppendixHeading1">
    <w:name w:val="Appendix Heading 1"/>
    <w:basedOn w:val="Heading1NoNumbers"/>
    <w:next w:val="AppendixHeading2"/>
    <w:uiPriority w:val="1"/>
    <w:qFormat/>
    <w:rsid w:val="00AD051F"/>
    <w:pPr>
      <w:numPr>
        <w:numId w:val="13"/>
      </w:numPr>
    </w:pPr>
  </w:style>
  <w:style w:type="paragraph" w:customStyle="1" w:styleId="AppendixHeading2">
    <w:name w:val="Appendix Heading 2"/>
    <w:basedOn w:val="Heading2NoNumbers"/>
    <w:next w:val="Normal"/>
    <w:uiPriority w:val="1"/>
    <w:qFormat/>
    <w:rsid w:val="00AD051F"/>
    <w:pPr>
      <w:numPr>
        <w:ilvl w:val="1"/>
        <w:numId w:val="13"/>
      </w:numPr>
    </w:pPr>
  </w:style>
  <w:style w:type="character" w:customStyle="1" w:styleId="CaptionChar">
    <w:name w:val="Caption Char"/>
    <w:basedOn w:val="DefaultParagraphFont"/>
    <w:link w:val="Caption"/>
    <w:uiPriority w:val="11"/>
    <w:rsid w:val="00AD051F"/>
    <w:rPr>
      <w:rFonts w:asciiTheme="majorHAnsi" w:hAnsiTheme="majorHAnsi"/>
      <w:i/>
      <w:iCs/>
      <w:color w:val="0C008E" w:themeColor="text2"/>
      <w:sz w:val="17"/>
      <w:szCs w:val="18"/>
    </w:rPr>
  </w:style>
  <w:style w:type="paragraph" w:customStyle="1" w:styleId="TOCSubheading">
    <w:name w:val="TOC Subheading"/>
    <w:basedOn w:val="TOCHeading"/>
    <w:uiPriority w:val="19"/>
    <w:qFormat/>
    <w:rsid w:val="00AD051F"/>
    <w:pPr>
      <w:spacing w:before="400" w:after="200"/>
    </w:pPr>
    <w:rPr>
      <w:sz w:val="28"/>
    </w:rPr>
  </w:style>
  <w:style w:type="numbering" w:styleId="111111">
    <w:name w:val="Outline List 2"/>
    <w:basedOn w:val="NoList"/>
    <w:uiPriority w:val="98"/>
    <w:semiHidden/>
    <w:unhideWhenUsed/>
    <w:rsid w:val="00517784"/>
    <w:pPr>
      <w:numPr>
        <w:numId w:val="5"/>
      </w:numPr>
    </w:pPr>
  </w:style>
  <w:style w:type="numbering" w:styleId="1ai">
    <w:name w:val="Outline List 1"/>
    <w:basedOn w:val="NoList"/>
    <w:uiPriority w:val="98"/>
    <w:semiHidden/>
    <w:unhideWhenUsed/>
    <w:rsid w:val="00517784"/>
    <w:pPr>
      <w:numPr>
        <w:numId w:val="6"/>
      </w:numPr>
    </w:pPr>
  </w:style>
  <w:style w:type="numbering" w:styleId="ArticleSection">
    <w:name w:val="Outline List 3"/>
    <w:basedOn w:val="NoList"/>
    <w:uiPriority w:val="98"/>
    <w:semiHidden/>
    <w:unhideWhenUsed/>
    <w:rsid w:val="00517784"/>
    <w:pPr>
      <w:numPr>
        <w:numId w:val="7"/>
      </w:numPr>
    </w:pPr>
  </w:style>
  <w:style w:type="character" w:styleId="BookTitle">
    <w:name w:val="Book Title"/>
    <w:basedOn w:val="DefaultParagraphFont"/>
    <w:uiPriority w:val="98"/>
    <w:semiHidden/>
    <w:qFormat/>
    <w:rsid w:val="00517784"/>
    <w:rPr>
      <w:b/>
      <w:bCs/>
      <w:i/>
      <w:iCs/>
      <w:spacing w:val="5"/>
    </w:rPr>
  </w:style>
  <w:style w:type="character" w:styleId="CommentReference">
    <w:name w:val="annotation reference"/>
    <w:basedOn w:val="DefaultParagraphFont"/>
    <w:uiPriority w:val="98"/>
    <w:semiHidden/>
    <w:unhideWhenUsed/>
    <w:rsid w:val="00517784"/>
    <w:rPr>
      <w:sz w:val="16"/>
      <w:szCs w:val="16"/>
    </w:rPr>
  </w:style>
  <w:style w:type="character" w:styleId="Emphasis">
    <w:name w:val="Emphasis"/>
    <w:basedOn w:val="DefaultParagraphFont"/>
    <w:uiPriority w:val="98"/>
    <w:semiHidden/>
    <w:qFormat/>
    <w:rsid w:val="00517784"/>
    <w:rPr>
      <w:i/>
      <w:iCs/>
    </w:rPr>
  </w:style>
  <w:style w:type="character" w:styleId="EndnoteReference">
    <w:name w:val="endnote reference"/>
    <w:basedOn w:val="DefaultParagraphFont"/>
    <w:uiPriority w:val="98"/>
    <w:semiHidden/>
    <w:unhideWhenUsed/>
    <w:rsid w:val="00517784"/>
    <w:rPr>
      <w:vertAlign w:val="superscript"/>
    </w:rPr>
  </w:style>
  <w:style w:type="character" w:styleId="FollowedHyperlink">
    <w:name w:val="FollowedHyperlink"/>
    <w:basedOn w:val="DefaultParagraphFont"/>
    <w:uiPriority w:val="98"/>
    <w:semiHidden/>
    <w:unhideWhenUsed/>
    <w:rsid w:val="00517784"/>
    <w:rPr>
      <w:color w:val="0C008E" w:themeColor="followedHyperlink"/>
      <w:u w:val="single"/>
    </w:rPr>
  </w:style>
  <w:style w:type="character" w:styleId="FootnoteReference">
    <w:name w:val="footnote reference"/>
    <w:basedOn w:val="DefaultParagraphFont"/>
    <w:uiPriority w:val="98"/>
    <w:semiHidden/>
    <w:unhideWhenUsed/>
    <w:rsid w:val="00517784"/>
    <w:rPr>
      <w:vertAlign w:val="superscript"/>
    </w:rPr>
  </w:style>
  <w:style w:type="character" w:styleId="Hashtag">
    <w:name w:val="Hashtag"/>
    <w:basedOn w:val="DefaultParagraphFont"/>
    <w:uiPriority w:val="98"/>
    <w:semiHidden/>
    <w:unhideWhenUsed/>
    <w:rsid w:val="00517784"/>
    <w:rPr>
      <w:color w:val="2B579A"/>
      <w:shd w:val="clear" w:color="auto" w:fill="E1DFDD"/>
    </w:rPr>
  </w:style>
  <w:style w:type="character" w:styleId="HTMLAcronym">
    <w:name w:val="HTML Acronym"/>
    <w:basedOn w:val="DefaultParagraphFont"/>
    <w:uiPriority w:val="98"/>
    <w:semiHidden/>
    <w:unhideWhenUsed/>
    <w:rsid w:val="00517784"/>
  </w:style>
  <w:style w:type="character" w:styleId="HTMLCite">
    <w:name w:val="HTML Cite"/>
    <w:basedOn w:val="DefaultParagraphFont"/>
    <w:uiPriority w:val="98"/>
    <w:semiHidden/>
    <w:unhideWhenUsed/>
    <w:rsid w:val="00517784"/>
    <w:rPr>
      <w:i/>
      <w:iCs/>
    </w:rPr>
  </w:style>
  <w:style w:type="character" w:styleId="HTMLCode">
    <w:name w:val="HTML Code"/>
    <w:basedOn w:val="DefaultParagraphFont"/>
    <w:uiPriority w:val="98"/>
    <w:semiHidden/>
    <w:unhideWhenUsed/>
    <w:rsid w:val="00517784"/>
    <w:rPr>
      <w:rFonts w:ascii="Consolas" w:hAnsi="Consolas"/>
      <w:sz w:val="20"/>
      <w:szCs w:val="20"/>
    </w:rPr>
  </w:style>
  <w:style w:type="character" w:styleId="HTMLDefinition">
    <w:name w:val="HTML Definition"/>
    <w:basedOn w:val="DefaultParagraphFont"/>
    <w:uiPriority w:val="98"/>
    <w:semiHidden/>
    <w:unhideWhenUsed/>
    <w:rsid w:val="00517784"/>
    <w:rPr>
      <w:i/>
      <w:iCs/>
    </w:rPr>
  </w:style>
  <w:style w:type="character" w:styleId="HTMLKeyboard">
    <w:name w:val="HTML Keyboard"/>
    <w:basedOn w:val="DefaultParagraphFont"/>
    <w:uiPriority w:val="98"/>
    <w:semiHidden/>
    <w:unhideWhenUsed/>
    <w:rsid w:val="00517784"/>
    <w:rPr>
      <w:rFonts w:ascii="Consolas" w:hAnsi="Consolas"/>
      <w:sz w:val="20"/>
      <w:szCs w:val="20"/>
    </w:rPr>
  </w:style>
  <w:style w:type="character" w:styleId="HTMLSample">
    <w:name w:val="HTML Sample"/>
    <w:basedOn w:val="DefaultParagraphFont"/>
    <w:uiPriority w:val="98"/>
    <w:semiHidden/>
    <w:unhideWhenUsed/>
    <w:rsid w:val="00517784"/>
    <w:rPr>
      <w:rFonts w:ascii="Consolas" w:hAnsi="Consolas"/>
      <w:sz w:val="24"/>
      <w:szCs w:val="24"/>
    </w:rPr>
  </w:style>
  <w:style w:type="character" w:styleId="HTMLTypewriter">
    <w:name w:val="HTML Typewriter"/>
    <w:basedOn w:val="DefaultParagraphFont"/>
    <w:uiPriority w:val="98"/>
    <w:semiHidden/>
    <w:unhideWhenUsed/>
    <w:rsid w:val="00517784"/>
    <w:rPr>
      <w:rFonts w:ascii="Consolas" w:hAnsi="Consolas"/>
      <w:sz w:val="20"/>
      <w:szCs w:val="20"/>
    </w:rPr>
  </w:style>
  <w:style w:type="character" w:styleId="HTMLVariable">
    <w:name w:val="HTML Variable"/>
    <w:basedOn w:val="DefaultParagraphFont"/>
    <w:uiPriority w:val="98"/>
    <w:semiHidden/>
    <w:unhideWhenUsed/>
    <w:rsid w:val="00517784"/>
    <w:rPr>
      <w:i/>
      <w:iCs/>
    </w:rPr>
  </w:style>
  <w:style w:type="character" w:styleId="IntenseEmphasis">
    <w:name w:val="Intense Emphasis"/>
    <w:basedOn w:val="DefaultParagraphFont"/>
    <w:uiPriority w:val="98"/>
    <w:semiHidden/>
    <w:qFormat/>
    <w:rsid w:val="00517784"/>
    <w:rPr>
      <w:i/>
      <w:iCs/>
      <w:color w:val="0C008E" w:themeColor="accent1"/>
    </w:rPr>
  </w:style>
  <w:style w:type="character" w:styleId="IntenseReference">
    <w:name w:val="Intense Reference"/>
    <w:basedOn w:val="DefaultParagraphFont"/>
    <w:uiPriority w:val="98"/>
    <w:semiHidden/>
    <w:qFormat/>
    <w:rsid w:val="00517784"/>
    <w:rPr>
      <w:b/>
      <w:bCs/>
      <w:smallCaps/>
      <w:color w:val="0C008E" w:themeColor="accent1"/>
      <w:spacing w:val="5"/>
    </w:rPr>
  </w:style>
  <w:style w:type="character" w:styleId="LineNumber">
    <w:name w:val="line number"/>
    <w:basedOn w:val="DefaultParagraphFont"/>
    <w:uiPriority w:val="98"/>
    <w:semiHidden/>
    <w:unhideWhenUsed/>
    <w:rsid w:val="00517784"/>
  </w:style>
  <w:style w:type="character" w:styleId="Mention">
    <w:name w:val="Mention"/>
    <w:basedOn w:val="DefaultParagraphFont"/>
    <w:uiPriority w:val="98"/>
    <w:semiHidden/>
    <w:unhideWhenUsed/>
    <w:rsid w:val="00517784"/>
    <w:rPr>
      <w:color w:val="2B579A"/>
      <w:shd w:val="clear" w:color="auto" w:fill="E1DFDD"/>
    </w:rPr>
  </w:style>
  <w:style w:type="character" w:styleId="PageNumber">
    <w:name w:val="page number"/>
    <w:basedOn w:val="DefaultParagraphFont"/>
    <w:uiPriority w:val="98"/>
    <w:semiHidden/>
    <w:unhideWhenUsed/>
    <w:rsid w:val="00517784"/>
  </w:style>
  <w:style w:type="character" w:styleId="SmartHyperlink">
    <w:name w:val="Smart Hyperlink"/>
    <w:basedOn w:val="DefaultParagraphFont"/>
    <w:uiPriority w:val="98"/>
    <w:semiHidden/>
    <w:unhideWhenUsed/>
    <w:rsid w:val="00517784"/>
    <w:rPr>
      <w:u w:val="dotted"/>
    </w:rPr>
  </w:style>
  <w:style w:type="character" w:styleId="SmartLink">
    <w:name w:val="Smart Link"/>
    <w:basedOn w:val="DefaultParagraphFont"/>
    <w:uiPriority w:val="98"/>
    <w:semiHidden/>
    <w:unhideWhenUsed/>
    <w:rsid w:val="00517784"/>
    <w:rPr>
      <w:color w:val="0000FF"/>
      <w:u w:val="single"/>
      <w:shd w:val="clear" w:color="auto" w:fill="F3F2F1"/>
    </w:rPr>
  </w:style>
  <w:style w:type="character" w:styleId="Strong">
    <w:name w:val="Strong"/>
    <w:basedOn w:val="DefaultParagraphFont"/>
    <w:uiPriority w:val="98"/>
    <w:semiHidden/>
    <w:qFormat/>
    <w:rsid w:val="00517784"/>
    <w:rPr>
      <w:b/>
      <w:bCs/>
    </w:rPr>
  </w:style>
  <w:style w:type="character" w:styleId="SubtleEmphasis">
    <w:name w:val="Subtle Emphasis"/>
    <w:basedOn w:val="DefaultParagraphFont"/>
    <w:uiPriority w:val="98"/>
    <w:semiHidden/>
    <w:qFormat/>
    <w:rsid w:val="00517784"/>
    <w:rPr>
      <w:i/>
      <w:iCs/>
      <w:color w:val="464D73" w:themeColor="text1" w:themeTint="BF"/>
    </w:rPr>
  </w:style>
  <w:style w:type="character" w:styleId="SubtleReference">
    <w:name w:val="Subtle Reference"/>
    <w:basedOn w:val="DefaultParagraphFont"/>
    <w:uiPriority w:val="98"/>
    <w:semiHidden/>
    <w:qFormat/>
    <w:rsid w:val="00517784"/>
    <w:rPr>
      <w:smallCaps/>
      <w:color w:val="565F8F" w:themeColor="text1" w:themeTint="A5"/>
    </w:rPr>
  </w:style>
  <w:style w:type="paragraph" w:customStyle="1" w:styleId="SectionNumber">
    <w:name w:val="Section Number"/>
    <w:basedOn w:val="SectionHeading"/>
    <w:uiPriority w:val="1"/>
    <w:semiHidden/>
    <w:qFormat/>
    <w:rsid w:val="00AD051F"/>
    <w:pPr>
      <w:spacing w:after="1200"/>
      <w:contextualSpacing w:val="0"/>
    </w:pPr>
    <w:rPr>
      <w:sz w:val="40"/>
    </w:rPr>
  </w:style>
  <w:style w:type="paragraph" w:customStyle="1" w:styleId="SectionSubheading">
    <w:name w:val="Section Subheading"/>
    <w:basedOn w:val="SectionHeading"/>
    <w:uiPriority w:val="1"/>
    <w:semiHidden/>
    <w:qFormat/>
    <w:rsid w:val="00AD051F"/>
    <w:pPr>
      <w:spacing w:before="300"/>
      <w:contextualSpacing w:val="0"/>
    </w:pPr>
    <w:rPr>
      <w:color w:val="FFFFFF" w:themeColor="background1"/>
      <w:sz w:val="30"/>
      <w:szCs w:val="52"/>
    </w:rPr>
  </w:style>
  <w:style w:type="table" w:customStyle="1" w:styleId="zero">
    <w:name w:val="zero"/>
    <w:basedOn w:val="TableNormal"/>
    <w:uiPriority w:val="99"/>
    <w:rsid w:val="00AD051F"/>
    <w:pPr>
      <w:spacing w:after="0" w:line="240" w:lineRule="auto"/>
    </w:pPr>
    <w:rPr>
      <w:rFonts w:eastAsia="Century Gothic"/>
      <w:sz w:val="20"/>
      <w:szCs w:val="20"/>
    </w:rPr>
    <w:tblPr>
      <w:tblCellMar>
        <w:left w:w="0" w:type="dxa"/>
        <w:right w:w="0" w:type="dxa"/>
      </w:tblCellMar>
    </w:tblPr>
  </w:style>
  <w:style w:type="table" w:customStyle="1" w:styleId="ETHOSFinancialTable1">
    <w:name w:val="ETHOS Financial Table1"/>
    <w:basedOn w:val="ETHOSTABLEStandard"/>
    <w:uiPriority w:val="10"/>
    <w:rsid w:val="00465328"/>
    <w:tblPr>
      <w:tblBorders>
        <w:top w:val="none" w:sz="0" w:space="0" w:color="auto"/>
        <w:bottom w:val="single" w:sz="2" w:space="0" w:color="0C008E" w:themeColor="text2"/>
        <w:insideH w:val="none" w:sz="0" w:space="0" w:color="auto"/>
      </w:tblBorders>
      <w:tblCellMar>
        <w:top w:w="28" w:type="dxa"/>
        <w:left w:w="57" w:type="dxa"/>
        <w:bottom w:w="28" w:type="dxa"/>
        <w:right w:w="57" w:type="dxa"/>
      </w:tblCellMar>
    </w:tblPr>
    <w:tcPr>
      <w:shd w:val="clear" w:color="auto" w:fill="auto"/>
      <w:tcMar>
        <w:top w:w="0" w:type="dxa"/>
        <w:bottom w:w="0" w:type="dxa"/>
      </w:tcMar>
    </w:tcPr>
    <w:tblStylePr w:type="firstRow">
      <w:pPr>
        <w:jc w:val="left"/>
      </w:pPr>
      <w:rPr>
        <w:rFonts w:asciiTheme="minorHAnsi" w:hAnsiTheme="minorHAnsi"/>
        <w:b w:val="0"/>
        <w:color w:val="FFFFFF" w:themeColor="background1"/>
      </w:rPr>
      <w:tblPr/>
      <w:trPr>
        <w:tblHeader/>
      </w:trPr>
      <w:tcPr>
        <w:shd w:val="clear" w:color="auto" w:fill="0C008E" w:themeFill="text2"/>
        <w:tcMar>
          <w:top w:w="0" w:type="nil"/>
          <w:left w:w="0" w:type="nil"/>
          <w:bottom w:w="0" w:type="nil"/>
          <w:right w:w="0" w:type="nil"/>
        </w:tcMar>
        <w:vAlign w:val="bottom"/>
      </w:tcPr>
    </w:tblStylePr>
    <w:tblStylePr w:type="firstCol">
      <w:rPr>
        <w:rFonts w:asciiTheme="majorHAnsi" w:hAnsiTheme="majorHAnsi"/>
        <w:color w:val="0C008E" w:themeColor="text2"/>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ESNumberedBody">
    <w:name w:val="ES Numbered Body"/>
    <w:basedOn w:val="Normal"/>
    <w:uiPriority w:val="6"/>
    <w:qFormat/>
    <w:rsid w:val="00465328"/>
    <w:pPr>
      <w:numPr>
        <w:numId w:val="21"/>
      </w:numPr>
      <w:contextualSpacing w:val="0"/>
    </w:pPr>
  </w:style>
  <w:style w:type="paragraph" w:customStyle="1" w:styleId="ESNumberedBullet1">
    <w:name w:val="ES Numbered Bullet 1"/>
    <w:basedOn w:val="Normal"/>
    <w:uiPriority w:val="6"/>
    <w:qFormat/>
    <w:rsid w:val="00465328"/>
    <w:pPr>
      <w:numPr>
        <w:ilvl w:val="1"/>
        <w:numId w:val="21"/>
      </w:numPr>
      <w:spacing w:after="80"/>
      <w:contextualSpacing w:val="0"/>
    </w:pPr>
  </w:style>
  <w:style w:type="paragraph" w:customStyle="1" w:styleId="ESNumberedBullet2">
    <w:name w:val="ES Numbered Bullet 2"/>
    <w:basedOn w:val="ESNumberedBullet1"/>
    <w:uiPriority w:val="6"/>
    <w:qFormat/>
    <w:rsid w:val="00465328"/>
    <w:pPr>
      <w:numPr>
        <w:ilvl w:val="2"/>
      </w:numPr>
    </w:pPr>
  </w:style>
  <w:style w:type="numbering" w:customStyle="1" w:styleId="ETHOSExecutiveSummary">
    <w:name w:val="_ETHOS Executive Summary"/>
    <w:uiPriority w:val="99"/>
    <w:rsid w:val="00465328"/>
    <w:pPr>
      <w:numPr>
        <w:numId w:val="20"/>
      </w:numPr>
    </w:pPr>
  </w:style>
  <w:style w:type="character" w:customStyle="1" w:styleId="NoSpacingChar">
    <w:name w:val="No Spacing Char"/>
    <w:aliases w:val="Cl55 Table response Char"/>
    <w:basedOn w:val="DefaultParagraphFont"/>
    <w:link w:val="NoSpacing"/>
    <w:uiPriority w:val="1"/>
    <w:rsid w:val="00A74AC6"/>
    <w:rPr>
      <w:sz w:val="17"/>
    </w:rPr>
  </w:style>
  <w:style w:type="numbering" w:customStyle="1" w:styleId="ETHOSBullets">
    <w:name w:val="ETHOS Bullets"/>
    <w:uiPriority w:val="99"/>
    <w:rsid w:val="005E6EA6"/>
    <w:pPr>
      <w:numPr>
        <w:numId w:val="22"/>
      </w:numPr>
    </w:pPr>
  </w:style>
  <w:style w:type="numbering" w:customStyle="1" w:styleId="TableBullet">
    <w:name w:val="Table Bullet"/>
    <w:uiPriority w:val="99"/>
    <w:rsid w:val="00506874"/>
    <w:pPr>
      <w:numPr>
        <w:numId w:val="23"/>
      </w:numPr>
    </w:pPr>
  </w:style>
  <w:style w:type="paragraph" w:customStyle="1" w:styleId="Default">
    <w:name w:val="Default"/>
    <w:rsid w:val="000E5135"/>
    <w:pPr>
      <w:autoSpaceDE w:val="0"/>
      <w:autoSpaceDN w:val="0"/>
      <w:adjustRightInd w:val="0"/>
      <w:spacing w:after="0" w:line="240" w:lineRule="auto"/>
    </w:pPr>
    <w:rPr>
      <w:rFonts w:ascii="Montserrat" w:hAnsi="Montserrat" w:cs="Montserrat"/>
      <w:color w:val="000000"/>
      <w:sz w:val="24"/>
      <w:szCs w:val="24"/>
    </w:rPr>
  </w:style>
  <w:style w:type="paragraph" w:customStyle="1" w:styleId="Pa2">
    <w:name w:val="Pa2"/>
    <w:basedOn w:val="Default"/>
    <w:next w:val="Default"/>
    <w:uiPriority w:val="99"/>
    <w:rsid w:val="00D51AFC"/>
    <w:pPr>
      <w:spacing w:line="171" w:lineRule="atLeast"/>
    </w:pPr>
    <w:rPr>
      <w:rFonts w:ascii="VIC Light" w:hAnsi="VIC Light" w:cstheme="minorBidi"/>
      <w:color w:val="auto"/>
    </w:rPr>
  </w:style>
  <w:style w:type="paragraph" w:styleId="Revision">
    <w:name w:val="Revision"/>
    <w:hidden/>
    <w:uiPriority w:val="99"/>
    <w:semiHidden/>
    <w:rsid w:val="00455833"/>
    <w:pPr>
      <w:spacing w:after="0" w:line="240" w:lineRule="auto"/>
    </w:pPr>
    <w:rPr>
      <w:sz w:val="17"/>
    </w:rPr>
  </w:style>
  <w:style w:type="table" w:customStyle="1" w:styleId="EthosUrban-DefaultTable">
    <w:name w:val="Ethos Urban-Default Table"/>
    <w:basedOn w:val="TableNormal"/>
    <w:uiPriority w:val="99"/>
    <w:rsid w:val="00416A7C"/>
    <w:pPr>
      <w:spacing w:after="0" w:line="240" w:lineRule="auto"/>
    </w:pPr>
    <w:tblPr>
      <w:tblStyleRowBandSize w:val="1"/>
      <w:tblBorders>
        <w:top w:val="single" w:sz="4" w:space="0" w:color="0C008E" w:themeColor="text2"/>
        <w:bottom w:val="single" w:sz="4" w:space="0" w:color="0C008E" w:themeColor="text2"/>
        <w:insideH w:val="single" w:sz="4" w:space="0" w:color="0C008E" w:themeColor="text2"/>
      </w:tblBorders>
      <w:tblCellMar>
        <w:top w:w="57" w:type="dxa"/>
        <w:left w:w="113" w:type="dxa"/>
        <w:bottom w:w="57" w:type="dxa"/>
        <w:right w:w="57" w:type="dxa"/>
      </w:tblCellMar>
    </w:tblPr>
    <w:tblStylePr w:type="firstRow">
      <w:rPr>
        <w:rFonts w:asciiTheme="majorHAnsi" w:hAnsiTheme="majorHAnsi"/>
        <w:b w:val="0"/>
        <w:color w:val="FFFFFF" w:themeColor="background1"/>
      </w:rPr>
      <w:tblPr/>
      <w:tcPr>
        <w:shd w:val="clear" w:color="auto" w:fill="0C008E" w:themeFill="text2"/>
      </w:tcPr>
    </w:tblStylePr>
    <w:tblStylePr w:type="firstCol">
      <w:rPr>
        <w:rFonts w:asciiTheme="majorHAnsi" w:hAnsiTheme="majorHAnsi"/>
        <w:b w:val="0"/>
      </w:rPr>
      <w:tblPr/>
      <w:tcPr>
        <w:tcBorders>
          <w:right w:val="nil"/>
        </w:tcBorders>
      </w:tcPr>
    </w:tblStylePr>
    <w:tblStylePr w:type="band2Horz">
      <w:tblPr/>
      <w:tcPr>
        <w:shd w:val="clear" w:color="auto" w:fill="E1E1E1" w:themeFill="accent5"/>
      </w:tcPr>
    </w:tblStylePr>
  </w:style>
  <w:style w:type="paragraph" w:customStyle="1" w:styleId="Source">
    <w:name w:val="Source"/>
    <w:basedOn w:val="Caption"/>
    <w:uiPriority w:val="19"/>
    <w:rsid w:val="00416A7C"/>
    <w:pPr>
      <w:tabs>
        <w:tab w:val="left" w:pos="851"/>
      </w:tabs>
      <w:spacing w:before="60" w:after="160" w:line="264" w:lineRule="auto"/>
      <w:contextualSpacing w:val="0"/>
    </w:pPr>
    <w:rPr>
      <w:rFonts w:asciiTheme="minorHAnsi" w:hAnsiTheme="minorHAnsi"/>
      <w:i w:val="0"/>
      <w:color w:val="auto"/>
      <w:sz w:val="14"/>
    </w:rPr>
  </w:style>
  <w:style w:type="character" w:customStyle="1" w:styleId="TableTextChar">
    <w:name w:val="Table Text Char"/>
    <w:basedOn w:val="DefaultParagraphFont"/>
    <w:link w:val="TableText"/>
    <w:uiPriority w:val="12"/>
    <w:rsid w:val="00416A7C"/>
    <w:rPr>
      <w:rFonts w:eastAsia="Calibri" w:cs="Calibri"/>
      <w:color w:val="1D2030" w:themeColor="text1"/>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74132">
      <w:bodyDiv w:val="1"/>
      <w:marLeft w:val="0"/>
      <w:marRight w:val="0"/>
      <w:marTop w:val="0"/>
      <w:marBottom w:val="0"/>
      <w:divBdr>
        <w:top w:val="none" w:sz="0" w:space="0" w:color="auto"/>
        <w:left w:val="none" w:sz="0" w:space="0" w:color="auto"/>
        <w:bottom w:val="none" w:sz="0" w:space="0" w:color="auto"/>
        <w:right w:val="none" w:sz="0" w:space="0" w:color="auto"/>
      </w:divBdr>
      <w:divsChild>
        <w:div w:id="395014482">
          <w:marLeft w:val="0"/>
          <w:marRight w:val="0"/>
          <w:marTop w:val="0"/>
          <w:marBottom w:val="0"/>
          <w:divBdr>
            <w:top w:val="none" w:sz="0" w:space="0" w:color="auto"/>
            <w:left w:val="none" w:sz="0" w:space="0" w:color="auto"/>
            <w:bottom w:val="none" w:sz="0" w:space="0" w:color="auto"/>
            <w:right w:val="none" w:sz="0" w:space="0" w:color="auto"/>
          </w:divBdr>
        </w:div>
      </w:divsChild>
    </w:div>
    <w:div w:id="208416074">
      <w:bodyDiv w:val="1"/>
      <w:marLeft w:val="0"/>
      <w:marRight w:val="0"/>
      <w:marTop w:val="0"/>
      <w:marBottom w:val="0"/>
      <w:divBdr>
        <w:top w:val="none" w:sz="0" w:space="0" w:color="auto"/>
        <w:left w:val="none" w:sz="0" w:space="0" w:color="auto"/>
        <w:bottom w:val="none" w:sz="0" w:space="0" w:color="auto"/>
        <w:right w:val="none" w:sz="0" w:space="0" w:color="auto"/>
      </w:divBdr>
      <w:divsChild>
        <w:div w:id="1195461431">
          <w:marLeft w:val="0"/>
          <w:marRight w:val="0"/>
          <w:marTop w:val="0"/>
          <w:marBottom w:val="0"/>
          <w:divBdr>
            <w:top w:val="none" w:sz="0" w:space="0" w:color="auto"/>
            <w:left w:val="none" w:sz="0" w:space="0" w:color="auto"/>
            <w:bottom w:val="none" w:sz="0" w:space="0" w:color="auto"/>
            <w:right w:val="none" w:sz="0" w:space="0" w:color="auto"/>
          </w:divBdr>
          <w:divsChild>
            <w:div w:id="63861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315736">
      <w:bodyDiv w:val="1"/>
      <w:marLeft w:val="0"/>
      <w:marRight w:val="0"/>
      <w:marTop w:val="0"/>
      <w:marBottom w:val="0"/>
      <w:divBdr>
        <w:top w:val="none" w:sz="0" w:space="0" w:color="auto"/>
        <w:left w:val="none" w:sz="0" w:space="0" w:color="auto"/>
        <w:bottom w:val="none" w:sz="0" w:space="0" w:color="auto"/>
        <w:right w:val="none" w:sz="0" w:space="0" w:color="auto"/>
      </w:divBdr>
      <w:divsChild>
        <w:div w:id="1676222190">
          <w:marLeft w:val="0"/>
          <w:marRight w:val="0"/>
          <w:marTop w:val="0"/>
          <w:marBottom w:val="0"/>
          <w:divBdr>
            <w:top w:val="none" w:sz="0" w:space="0" w:color="auto"/>
            <w:left w:val="none" w:sz="0" w:space="0" w:color="auto"/>
            <w:bottom w:val="none" w:sz="0" w:space="0" w:color="auto"/>
            <w:right w:val="none" w:sz="0" w:space="0" w:color="auto"/>
          </w:divBdr>
          <w:divsChild>
            <w:div w:id="745345935">
              <w:marLeft w:val="0"/>
              <w:marRight w:val="0"/>
              <w:marTop w:val="0"/>
              <w:marBottom w:val="0"/>
              <w:divBdr>
                <w:top w:val="none" w:sz="0" w:space="0" w:color="auto"/>
                <w:left w:val="none" w:sz="0" w:space="0" w:color="auto"/>
                <w:bottom w:val="none" w:sz="0" w:space="0" w:color="auto"/>
                <w:right w:val="none" w:sz="0" w:space="0" w:color="auto"/>
              </w:divBdr>
              <w:divsChild>
                <w:div w:id="789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124844">
      <w:bodyDiv w:val="1"/>
      <w:marLeft w:val="0"/>
      <w:marRight w:val="0"/>
      <w:marTop w:val="0"/>
      <w:marBottom w:val="0"/>
      <w:divBdr>
        <w:top w:val="none" w:sz="0" w:space="0" w:color="auto"/>
        <w:left w:val="none" w:sz="0" w:space="0" w:color="auto"/>
        <w:bottom w:val="none" w:sz="0" w:space="0" w:color="auto"/>
        <w:right w:val="none" w:sz="0" w:space="0" w:color="auto"/>
      </w:divBdr>
    </w:div>
    <w:div w:id="771824851">
      <w:bodyDiv w:val="1"/>
      <w:marLeft w:val="0"/>
      <w:marRight w:val="0"/>
      <w:marTop w:val="0"/>
      <w:marBottom w:val="0"/>
      <w:divBdr>
        <w:top w:val="none" w:sz="0" w:space="0" w:color="auto"/>
        <w:left w:val="none" w:sz="0" w:space="0" w:color="auto"/>
        <w:bottom w:val="none" w:sz="0" w:space="0" w:color="auto"/>
        <w:right w:val="none" w:sz="0" w:space="0" w:color="auto"/>
      </w:divBdr>
      <w:divsChild>
        <w:div w:id="1808618283">
          <w:marLeft w:val="0"/>
          <w:marRight w:val="0"/>
          <w:marTop w:val="0"/>
          <w:marBottom w:val="0"/>
          <w:divBdr>
            <w:top w:val="none" w:sz="0" w:space="0" w:color="auto"/>
            <w:left w:val="none" w:sz="0" w:space="0" w:color="auto"/>
            <w:bottom w:val="none" w:sz="0" w:space="0" w:color="auto"/>
            <w:right w:val="none" w:sz="0" w:space="0" w:color="auto"/>
          </w:divBdr>
          <w:divsChild>
            <w:div w:id="436798647">
              <w:marLeft w:val="0"/>
              <w:marRight w:val="0"/>
              <w:marTop w:val="0"/>
              <w:marBottom w:val="0"/>
              <w:divBdr>
                <w:top w:val="none" w:sz="0" w:space="0" w:color="auto"/>
                <w:left w:val="none" w:sz="0" w:space="0" w:color="auto"/>
                <w:bottom w:val="none" w:sz="0" w:space="0" w:color="auto"/>
                <w:right w:val="none" w:sz="0" w:space="0" w:color="auto"/>
              </w:divBdr>
              <w:divsChild>
                <w:div w:id="146731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232671">
      <w:bodyDiv w:val="1"/>
      <w:marLeft w:val="0"/>
      <w:marRight w:val="0"/>
      <w:marTop w:val="0"/>
      <w:marBottom w:val="0"/>
      <w:divBdr>
        <w:top w:val="none" w:sz="0" w:space="0" w:color="auto"/>
        <w:left w:val="none" w:sz="0" w:space="0" w:color="auto"/>
        <w:bottom w:val="none" w:sz="0" w:space="0" w:color="auto"/>
        <w:right w:val="none" w:sz="0" w:space="0" w:color="auto"/>
      </w:divBdr>
      <w:divsChild>
        <w:div w:id="1141845860">
          <w:marLeft w:val="0"/>
          <w:marRight w:val="0"/>
          <w:marTop w:val="0"/>
          <w:marBottom w:val="0"/>
          <w:divBdr>
            <w:top w:val="none" w:sz="0" w:space="0" w:color="auto"/>
            <w:left w:val="none" w:sz="0" w:space="0" w:color="auto"/>
            <w:bottom w:val="none" w:sz="0" w:space="0" w:color="auto"/>
            <w:right w:val="none" w:sz="0" w:space="0" w:color="auto"/>
          </w:divBdr>
        </w:div>
      </w:divsChild>
    </w:div>
    <w:div w:id="819540417">
      <w:bodyDiv w:val="1"/>
      <w:marLeft w:val="0"/>
      <w:marRight w:val="0"/>
      <w:marTop w:val="0"/>
      <w:marBottom w:val="0"/>
      <w:divBdr>
        <w:top w:val="none" w:sz="0" w:space="0" w:color="auto"/>
        <w:left w:val="none" w:sz="0" w:space="0" w:color="auto"/>
        <w:bottom w:val="none" w:sz="0" w:space="0" w:color="auto"/>
        <w:right w:val="none" w:sz="0" w:space="0" w:color="auto"/>
      </w:divBdr>
    </w:div>
    <w:div w:id="822936877">
      <w:bodyDiv w:val="1"/>
      <w:marLeft w:val="0"/>
      <w:marRight w:val="0"/>
      <w:marTop w:val="0"/>
      <w:marBottom w:val="0"/>
      <w:divBdr>
        <w:top w:val="none" w:sz="0" w:space="0" w:color="auto"/>
        <w:left w:val="none" w:sz="0" w:space="0" w:color="auto"/>
        <w:bottom w:val="none" w:sz="0" w:space="0" w:color="auto"/>
        <w:right w:val="none" w:sz="0" w:space="0" w:color="auto"/>
      </w:divBdr>
      <w:divsChild>
        <w:div w:id="1040201586">
          <w:marLeft w:val="0"/>
          <w:marRight w:val="0"/>
          <w:marTop w:val="0"/>
          <w:marBottom w:val="0"/>
          <w:divBdr>
            <w:top w:val="none" w:sz="0" w:space="0" w:color="auto"/>
            <w:left w:val="none" w:sz="0" w:space="0" w:color="auto"/>
            <w:bottom w:val="none" w:sz="0" w:space="0" w:color="auto"/>
            <w:right w:val="none" w:sz="0" w:space="0" w:color="auto"/>
          </w:divBdr>
          <w:divsChild>
            <w:div w:id="991367768">
              <w:marLeft w:val="0"/>
              <w:marRight w:val="0"/>
              <w:marTop w:val="0"/>
              <w:marBottom w:val="0"/>
              <w:divBdr>
                <w:top w:val="none" w:sz="0" w:space="0" w:color="auto"/>
                <w:left w:val="none" w:sz="0" w:space="0" w:color="auto"/>
                <w:bottom w:val="none" w:sz="0" w:space="0" w:color="auto"/>
                <w:right w:val="none" w:sz="0" w:space="0" w:color="auto"/>
              </w:divBdr>
              <w:divsChild>
                <w:div w:id="213385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33382">
      <w:bodyDiv w:val="1"/>
      <w:marLeft w:val="0"/>
      <w:marRight w:val="0"/>
      <w:marTop w:val="0"/>
      <w:marBottom w:val="0"/>
      <w:divBdr>
        <w:top w:val="none" w:sz="0" w:space="0" w:color="auto"/>
        <w:left w:val="none" w:sz="0" w:space="0" w:color="auto"/>
        <w:bottom w:val="none" w:sz="0" w:space="0" w:color="auto"/>
        <w:right w:val="none" w:sz="0" w:space="0" w:color="auto"/>
      </w:divBdr>
      <w:divsChild>
        <w:div w:id="1991058142">
          <w:marLeft w:val="0"/>
          <w:marRight w:val="0"/>
          <w:marTop w:val="0"/>
          <w:marBottom w:val="0"/>
          <w:divBdr>
            <w:top w:val="none" w:sz="0" w:space="0" w:color="auto"/>
            <w:left w:val="none" w:sz="0" w:space="0" w:color="auto"/>
            <w:bottom w:val="none" w:sz="0" w:space="0" w:color="auto"/>
            <w:right w:val="none" w:sz="0" w:space="0" w:color="auto"/>
          </w:divBdr>
          <w:divsChild>
            <w:div w:id="144500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27239">
      <w:bodyDiv w:val="1"/>
      <w:marLeft w:val="0"/>
      <w:marRight w:val="0"/>
      <w:marTop w:val="0"/>
      <w:marBottom w:val="0"/>
      <w:divBdr>
        <w:top w:val="none" w:sz="0" w:space="0" w:color="auto"/>
        <w:left w:val="none" w:sz="0" w:space="0" w:color="auto"/>
        <w:bottom w:val="none" w:sz="0" w:space="0" w:color="auto"/>
        <w:right w:val="none" w:sz="0" w:space="0" w:color="auto"/>
      </w:divBdr>
      <w:divsChild>
        <w:div w:id="1539470272">
          <w:marLeft w:val="0"/>
          <w:marRight w:val="0"/>
          <w:marTop w:val="0"/>
          <w:marBottom w:val="0"/>
          <w:divBdr>
            <w:top w:val="none" w:sz="0" w:space="0" w:color="auto"/>
            <w:left w:val="none" w:sz="0" w:space="0" w:color="auto"/>
            <w:bottom w:val="none" w:sz="0" w:space="0" w:color="auto"/>
            <w:right w:val="none" w:sz="0" w:space="0" w:color="auto"/>
          </w:divBdr>
          <w:divsChild>
            <w:div w:id="80034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371327">
      <w:bodyDiv w:val="1"/>
      <w:marLeft w:val="0"/>
      <w:marRight w:val="0"/>
      <w:marTop w:val="0"/>
      <w:marBottom w:val="0"/>
      <w:divBdr>
        <w:top w:val="none" w:sz="0" w:space="0" w:color="auto"/>
        <w:left w:val="none" w:sz="0" w:space="0" w:color="auto"/>
        <w:bottom w:val="none" w:sz="0" w:space="0" w:color="auto"/>
        <w:right w:val="none" w:sz="0" w:space="0" w:color="auto"/>
      </w:divBdr>
      <w:divsChild>
        <w:div w:id="956569677">
          <w:marLeft w:val="0"/>
          <w:marRight w:val="0"/>
          <w:marTop w:val="0"/>
          <w:marBottom w:val="0"/>
          <w:divBdr>
            <w:top w:val="none" w:sz="0" w:space="0" w:color="auto"/>
            <w:left w:val="none" w:sz="0" w:space="0" w:color="auto"/>
            <w:bottom w:val="none" w:sz="0" w:space="0" w:color="auto"/>
            <w:right w:val="none" w:sz="0" w:space="0" w:color="auto"/>
          </w:divBdr>
          <w:divsChild>
            <w:div w:id="553388504">
              <w:marLeft w:val="0"/>
              <w:marRight w:val="0"/>
              <w:marTop w:val="0"/>
              <w:marBottom w:val="0"/>
              <w:divBdr>
                <w:top w:val="none" w:sz="0" w:space="0" w:color="auto"/>
                <w:left w:val="none" w:sz="0" w:space="0" w:color="auto"/>
                <w:bottom w:val="none" w:sz="0" w:space="0" w:color="auto"/>
                <w:right w:val="none" w:sz="0" w:space="0" w:color="auto"/>
              </w:divBdr>
              <w:divsChild>
                <w:div w:id="158560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12596">
      <w:bodyDiv w:val="1"/>
      <w:marLeft w:val="0"/>
      <w:marRight w:val="0"/>
      <w:marTop w:val="0"/>
      <w:marBottom w:val="0"/>
      <w:divBdr>
        <w:top w:val="none" w:sz="0" w:space="0" w:color="auto"/>
        <w:left w:val="none" w:sz="0" w:space="0" w:color="auto"/>
        <w:bottom w:val="none" w:sz="0" w:space="0" w:color="auto"/>
        <w:right w:val="none" w:sz="0" w:space="0" w:color="auto"/>
      </w:divBdr>
      <w:divsChild>
        <w:div w:id="2109348484">
          <w:marLeft w:val="0"/>
          <w:marRight w:val="0"/>
          <w:marTop w:val="0"/>
          <w:marBottom w:val="0"/>
          <w:divBdr>
            <w:top w:val="none" w:sz="0" w:space="0" w:color="auto"/>
            <w:left w:val="none" w:sz="0" w:space="0" w:color="auto"/>
            <w:bottom w:val="none" w:sz="0" w:space="0" w:color="auto"/>
            <w:right w:val="none" w:sz="0" w:space="0" w:color="auto"/>
          </w:divBdr>
          <w:divsChild>
            <w:div w:id="5571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60550">
      <w:bodyDiv w:val="1"/>
      <w:marLeft w:val="0"/>
      <w:marRight w:val="0"/>
      <w:marTop w:val="0"/>
      <w:marBottom w:val="0"/>
      <w:divBdr>
        <w:top w:val="none" w:sz="0" w:space="0" w:color="auto"/>
        <w:left w:val="none" w:sz="0" w:space="0" w:color="auto"/>
        <w:bottom w:val="none" w:sz="0" w:space="0" w:color="auto"/>
        <w:right w:val="none" w:sz="0" w:space="0" w:color="auto"/>
      </w:divBdr>
      <w:divsChild>
        <w:div w:id="2132550918">
          <w:marLeft w:val="0"/>
          <w:marRight w:val="0"/>
          <w:marTop w:val="0"/>
          <w:marBottom w:val="0"/>
          <w:divBdr>
            <w:top w:val="none" w:sz="0" w:space="0" w:color="auto"/>
            <w:left w:val="none" w:sz="0" w:space="0" w:color="auto"/>
            <w:bottom w:val="none" w:sz="0" w:space="0" w:color="auto"/>
            <w:right w:val="none" w:sz="0" w:space="0" w:color="auto"/>
          </w:divBdr>
          <w:divsChild>
            <w:div w:id="682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12770">
      <w:bodyDiv w:val="1"/>
      <w:marLeft w:val="0"/>
      <w:marRight w:val="0"/>
      <w:marTop w:val="0"/>
      <w:marBottom w:val="0"/>
      <w:divBdr>
        <w:top w:val="none" w:sz="0" w:space="0" w:color="auto"/>
        <w:left w:val="none" w:sz="0" w:space="0" w:color="auto"/>
        <w:bottom w:val="none" w:sz="0" w:space="0" w:color="auto"/>
        <w:right w:val="none" w:sz="0" w:space="0" w:color="auto"/>
      </w:divBdr>
      <w:divsChild>
        <w:div w:id="418329690">
          <w:marLeft w:val="0"/>
          <w:marRight w:val="0"/>
          <w:marTop w:val="0"/>
          <w:marBottom w:val="0"/>
          <w:divBdr>
            <w:top w:val="none" w:sz="0" w:space="0" w:color="auto"/>
            <w:left w:val="none" w:sz="0" w:space="0" w:color="auto"/>
            <w:bottom w:val="none" w:sz="0" w:space="0" w:color="auto"/>
            <w:right w:val="none" w:sz="0" w:space="0" w:color="auto"/>
          </w:divBdr>
          <w:divsChild>
            <w:div w:id="6553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4.xml"/><Relationship Id="rId26" Type="http://schemas.openxmlformats.org/officeDocument/2006/relationships/image" Target="media/image11.png"/><Relationship Id="rId39"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header" Target="header5.xml"/><Relationship Id="rId42" Type="http://schemas.openxmlformats.org/officeDocument/2006/relationships/customXml" Target="../customXml/item6.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jpeg"/><Relationship Id="rId29" Type="http://schemas.openxmlformats.org/officeDocument/2006/relationships/image" Target="media/image14.pn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glossaryDocument" Target="glossary/document.xml"/><Relationship Id="rId40"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ethosurban.com"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header" Target="header3.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EUTemplates\VIC%20-%20Planning%20Scheme%20Amendment%20Reque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E126954E5647088037339F1E4BD5F1"/>
        <w:category>
          <w:name w:val="General"/>
          <w:gallery w:val="placeholder"/>
        </w:category>
        <w:types>
          <w:type w:val="bbPlcHdr"/>
        </w:types>
        <w:behaviors>
          <w:behavior w:val="content"/>
        </w:behaviors>
        <w:guid w:val="{5D903231-34FB-46F3-8254-5ACAFEB3408F}"/>
      </w:docPartPr>
      <w:docPartBody>
        <w:p w:rsidR="00982D6F" w:rsidRDefault="00A65D20">
          <w:pPr>
            <w:pStyle w:val="8BE126954E5647088037339F1E4BD5F1"/>
          </w:pPr>
          <w:r w:rsidRPr="00960D5F">
            <w:rPr>
              <w:rStyle w:val="PlaceholderText"/>
            </w:rPr>
            <w:t>Click or tap here to enter text.</w:t>
          </w:r>
        </w:p>
      </w:docPartBody>
    </w:docPart>
    <w:docPart>
      <w:docPartPr>
        <w:name w:val="C6C9F138D0ED4F12870CFC9744E345CD"/>
        <w:category>
          <w:name w:val="General"/>
          <w:gallery w:val="placeholder"/>
        </w:category>
        <w:types>
          <w:type w:val="bbPlcHdr"/>
        </w:types>
        <w:behaviors>
          <w:behavior w:val="content"/>
        </w:behaviors>
        <w:guid w:val="{A9AE3AD4-744B-4D59-B65C-EF96EF2909BF}"/>
      </w:docPartPr>
      <w:docPartBody>
        <w:p w:rsidR="00982D6F" w:rsidRDefault="00A65D20">
          <w:pPr>
            <w:pStyle w:val="C6C9F138D0ED4F12870CFC9744E345CD"/>
          </w:pPr>
          <w:r>
            <w:rPr>
              <w:rStyle w:val="PlaceholderText"/>
            </w:rPr>
            <w:t>&lt;S</w:t>
          </w:r>
          <w:r w:rsidRPr="00DE34BE">
            <w:rPr>
              <w:rStyle w:val="PlaceholderText"/>
            </w:rPr>
            <w:t>ubtitle</w:t>
          </w:r>
          <w:r>
            <w:rPr>
              <w:rStyle w:val="PlaceholderText"/>
            </w:rPr>
            <w:t>&gt;</w:t>
          </w:r>
        </w:p>
      </w:docPartBody>
    </w:docPart>
    <w:docPart>
      <w:docPartPr>
        <w:name w:val="6CB73B92CD60480EAB5349E25EEBBA6F"/>
        <w:category>
          <w:name w:val="General"/>
          <w:gallery w:val="placeholder"/>
        </w:category>
        <w:types>
          <w:type w:val="bbPlcHdr"/>
        </w:types>
        <w:behaviors>
          <w:behavior w:val="content"/>
        </w:behaviors>
        <w:guid w:val="{4395E045-ED9E-4549-ACC8-E33DC894B4E0}"/>
      </w:docPartPr>
      <w:docPartBody>
        <w:p w:rsidR="00982D6F" w:rsidRDefault="00A65D20">
          <w:pPr>
            <w:pStyle w:val="6CB73B92CD60480EAB5349E25EEBBA6F"/>
          </w:pPr>
          <w:r w:rsidRPr="000A2477">
            <w:rPr>
              <w:rStyle w:val="PlaceholderText"/>
            </w:rPr>
            <w:t>Footer1</w:t>
          </w:r>
        </w:p>
      </w:docPartBody>
    </w:docPart>
    <w:docPart>
      <w:docPartPr>
        <w:name w:val="50A4C8055C9F49999C4D46090131A877"/>
        <w:category>
          <w:name w:val="General"/>
          <w:gallery w:val="placeholder"/>
        </w:category>
        <w:types>
          <w:type w:val="bbPlcHdr"/>
        </w:types>
        <w:behaviors>
          <w:behavior w:val="content"/>
        </w:behaviors>
        <w:guid w:val="{5D8519C4-E174-4248-BFA1-285AE2CDDA0F}"/>
      </w:docPartPr>
      <w:docPartBody>
        <w:p w:rsidR="00982D6F" w:rsidRDefault="00A65D20">
          <w:pPr>
            <w:pStyle w:val="50A4C8055C9F49999C4D46090131A877"/>
          </w:pPr>
          <w:r w:rsidRPr="00155BE2">
            <w:rPr>
              <w:rStyle w:val="PlaceholderText"/>
            </w:rPr>
            <w:t>Footer2</w:t>
          </w:r>
        </w:p>
      </w:docPartBody>
    </w:docPart>
    <w:docPart>
      <w:docPartPr>
        <w:name w:val="532D940A27664E1CBEDE21E264FFA651"/>
        <w:category>
          <w:name w:val="General"/>
          <w:gallery w:val="placeholder"/>
        </w:category>
        <w:types>
          <w:type w:val="bbPlcHdr"/>
        </w:types>
        <w:behaviors>
          <w:behavior w:val="content"/>
        </w:behaviors>
        <w:guid w:val="{2870E668-89D2-4D8C-89B4-497AD82FB706}"/>
      </w:docPartPr>
      <w:docPartBody>
        <w:p w:rsidR="00982D6F" w:rsidRDefault="00A65D20" w:rsidP="00A65D20">
          <w:pPr>
            <w:pStyle w:val="532D940A27664E1CBEDE21E264FFA651"/>
          </w:pPr>
          <w:r>
            <w:rPr>
              <w:rStyle w:val="PlaceholderText"/>
            </w:rPr>
            <w:t>Author</w:t>
          </w:r>
        </w:p>
      </w:docPartBody>
    </w:docPart>
    <w:docPart>
      <w:docPartPr>
        <w:name w:val="D127A74C7F6A4A09B59C22489BEE8B18"/>
        <w:category>
          <w:name w:val="General"/>
          <w:gallery w:val="placeholder"/>
        </w:category>
        <w:types>
          <w:type w:val="bbPlcHdr"/>
        </w:types>
        <w:behaviors>
          <w:behavior w:val="content"/>
        </w:behaviors>
        <w:guid w:val="{58CF3A23-C7AE-40E7-B693-17D855BD543C}"/>
      </w:docPartPr>
      <w:docPartBody>
        <w:p w:rsidR="00982D6F" w:rsidRDefault="00A65D20" w:rsidP="00A65D20">
          <w:pPr>
            <w:pStyle w:val="D127A74C7F6A4A09B59C22489BEE8B18"/>
          </w:pPr>
          <w:r w:rsidRPr="003C526D">
            <w:rPr>
              <w:rStyle w:val="PlaceholderText"/>
            </w:rPr>
            <w:t>Click or tap to enter a date.</w:t>
          </w:r>
        </w:p>
      </w:docPartBody>
    </w:docPart>
    <w:docPart>
      <w:docPartPr>
        <w:name w:val="C4D2B33F40CF4BDDBA65029502467D58"/>
        <w:category>
          <w:name w:val="General"/>
          <w:gallery w:val="placeholder"/>
        </w:category>
        <w:types>
          <w:type w:val="bbPlcHdr"/>
        </w:types>
        <w:behaviors>
          <w:behavior w:val="content"/>
        </w:behaviors>
        <w:guid w:val="{BE94207E-5068-454D-9F38-C6B7A9214F37}"/>
      </w:docPartPr>
      <w:docPartBody>
        <w:p w:rsidR="00982D6F" w:rsidRDefault="00A65D20" w:rsidP="00A65D20">
          <w:pPr>
            <w:pStyle w:val="C4D2B33F40CF4BDDBA65029502467D58"/>
          </w:pPr>
          <w:r>
            <w:rPr>
              <w:rStyle w:val="PlaceholderText"/>
            </w:rPr>
            <w:t>Project Reviewer</w:t>
          </w:r>
          <w:r w:rsidRPr="00CB0FE8">
            <w:rPr>
              <w:rStyle w:val="PlaceholderText"/>
            </w:rPr>
            <w:t>.</w:t>
          </w:r>
        </w:p>
      </w:docPartBody>
    </w:docPart>
    <w:docPart>
      <w:docPartPr>
        <w:name w:val="5A0066D3514B4E30ACB4B95CE0269168"/>
        <w:category>
          <w:name w:val="General"/>
          <w:gallery w:val="placeholder"/>
        </w:category>
        <w:types>
          <w:type w:val="bbPlcHdr"/>
        </w:types>
        <w:behaviors>
          <w:behavior w:val="content"/>
        </w:behaviors>
        <w:guid w:val="{87E6B4AF-E8AE-4F21-843D-CBCC02B60995}"/>
      </w:docPartPr>
      <w:docPartBody>
        <w:p w:rsidR="00982D6F" w:rsidRDefault="00A65D20" w:rsidP="00A65D20">
          <w:pPr>
            <w:pStyle w:val="5A0066D3514B4E30ACB4B95CE0269168"/>
          </w:pPr>
          <w:r w:rsidRPr="003C526D">
            <w:rPr>
              <w:rStyle w:val="PlaceholderText"/>
            </w:rPr>
            <w:t>Click or tap to enter a date.</w:t>
          </w:r>
        </w:p>
      </w:docPartBody>
    </w:docPart>
    <w:docPart>
      <w:docPartPr>
        <w:name w:val="4E3E70E0C3934DAA9825E58244F57C9C"/>
        <w:category>
          <w:name w:val="General"/>
          <w:gallery w:val="placeholder"/>
        </w:category>
        <w:types>
          <w:type w:val="bbPlcHdr"/>
        </w:types>
        <w:behaviors>
          <w:behavior w:val="content"/>
        </w:behaviors>
        <w:guid w:val="{9A629B5A-36CF-4927-BDD2-CFE7C21873BE}"/>
      </w:docPartPr>
      <w:docPartBody>
        <w:p w:rsidR="00982D6F" w:rsidRDefault="00A65D20" w:rsidP="00A65D20">
          <w:pPr>
            <w:pStyle w:val="4E3E70E0C3934DAA9825E58244F57C9C"/>
          </w:pPr>
          <w:r w:rsidRPr="003C526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ofia Pro Light">
    <w:altName w:val="Calibri"/>
    <w:panose1 w:val="00000000000000000000"/>
    <w:charset w:val="00"/>
    <w:family w:val="modern"/>
    <w:notTrueType/>
    <w:pitch w:val="variable"/>
    <w:sig w:usb0="A00002AF" w:usb1="5000004B" w:usb2="00000000" w:usb3="00000000" w:csb0="0000019F" w:csb1="00000000"/>
  </w:font>
  <w:font w:name="Montserrat Light">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ontserrat Medium">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IC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D20"/>
    <w:rsid w:val="00091C2A"/>
    <w:rsid w:val="000B1A89"/>
    <w:rsid w:val="0016793B"/>
    <w:rsid w:val="001D01AA"/>
    <w:rsid w:val="002A396E"/>
    <w:rsid w:val="00367653"/>
    <w:rsid w:val="003833B7"/>
    <w:rsid w:val="003903D5"/>
    <w:rsid w:val="003D621B"/>
    <w:rsid w:val="00481687"/>
    <w:rsid w:val="004A7186"/>
    <w:rsid w:val="00514379"/>
    <w:rsid w:val="00594B51"/>
    <w:rsid w:val="005D15D1"/>
    <w:rsid w:val="00657C7A"/>
    <w:rsid w:val="006F0A88"/>
    <w:rsid w:val="006F5D61"/>
    <w:rsid w:val="00790327"/>
    <w:rsid w:val="008B42CE"/>
    <w:rsid w:val="00961EAF"/>
    <w:rsid w:val="00982D6F"/>
    <w:rsid w:val="00A46E83"/>
    <w:rsid w:val="00A65D20"/>
    <w:rsid w:val="00AB74DC"/>
    <w:rsid w:val="00B91EBB"/>
    <w:rsid w:val="00BE6724"/>
    <w:rsid w:val="00C22D21"/>
    <w:rsid w:val="00D16A3C"/>
    <w:rsid w:val="00D607FC"/>
    <w:rsid w:val="00D8247A"/>
    <w:rsid w:val="00DA0711"/>
    <w:rsid w:val="00DD4FB7"/>
    <w:rsid w:val="00E06886"/>
    <w:rsid w:val="00EE7696"/>
    <w:rsid w:val="00EF736A"/>
    <w:rsid w:val="00F75167"/>
    <w:rsid w:val="00FB28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rsid w:val="00A65D20"/>
    <w:rPr>
      <w:color w:val="FF00FF"/>
    </w:rPr>
  </w:style>
  <w:style w:type="paragraph" w:customStyle="1" w:styleId="8BE126954E5647088037339F1E4BD5F1">
    <w:name w:val="8BE126954E5647088037339F1E4BD5F1"/>
  </w:style>
  <w:style w:type="paragraph" w:customStyle="1" w:styleId="C6C9F138D0ED4F12870CFC9744E345CD">
    <w:name w:val="C6C9F138D0ED4F12870CFC9744E345CD"/>
  </w:style>
  <w:style w:type="paragraph" w:customStyle="1" w:styleId="6CB73B92CD60480EAB5349E25EEBBA6F">
    <w:name w:val="6CB73B92CD60480EAB5349E25EEBBA6F"/>
  </w:style>
  <w:style w:type="paragraph" w:customStyle="1" w:styleId="50A4C8055C9F49999C4D46090131A877">
    <w:name w:val="50A4C8055C9F49999C4D46090131A877"/>
  </w:style>
  <w:style w:type="paragraph" w:customStyle="1" w:styleId="532D940A27664E1CBEDE21E264FFA651">
    <w:name w:val="532D940A27664E1CBEDE21E264FFA651"/>
    <w:rsid w:val="00A65D20"/>
  </w:style>
  <w:style w:type="paragraph" w:customStyle="1" w:styleId="D127A74C7F6A4A09B59C22489BEE8B18">
    <w:name w:val="D127A74C7F6A4A09B59C22489BEE8B18"/>
    <w:rsid w:val="00A65D20"/>
  </w:style>
  <w:style w:type="paragraph" w:customStyle="1" w:styleId="C4D2B33F40CF4BDDBA65029502467D58">
    <w:name w:val="C4D2B33F40CF4BDDBA65029502467D58"/>
    <w:rsid w:val="00A65D20"/>
  </w:style>
  <w:style w:type="paragraph" w:customStyle="1" w:styleId="5A0066D3514B4E30ACB4B95CE0269168">
    <w:name w:val="5A0066D3514B4E30ACB4B95CE0269168"/>
    <w:rsid w:val="00A65D20"/>
  </w:style>
  <w:style w:type="paragraph" w:customStyle="1" w:styleId="4E3E70E0C3934DAA9825E58244F57C9C">
    <w:name w:val="4E3E70E0C3934DAA9825E58244F57C9C"/>
    <w:rsid w:val="00A65D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ustom 3">
      <a:dk1>
        <a:srgbClr val="1D2030"/>
      </a:dk1>
      <a:lt1>
        <a:srgbClr val="FFFFFF"/>
      </a:lt1>
      <a:dk2>
        <a:srgbClr val="0C008E"/>
      </a:dk2>
      <a:lt2>
        <a:srgbClr val="C9F0FF"/>
      </a:lt2>
      <a:accent1>
        <a:srgbClr val="0C008E"/>
      </a:accent1>
      <a:accent2>
        <a:srgbClr val="2B3DDB"/>
      </a:accent2>
      <a:accent3>
        <a:srgbClr val="C9F08E"/>
      </a:accent3>
      <a:accent4>
        <a:srgbClr val="FFFF9C"/>
      </a:accent4>
      <a:accent5>
        <a:srgbClr val="E1E1E1"/>
      </a:accent5>
      <a:accent6>
        <a:srgbClr val="E5FFFF"/>
      </a:accent6>
      <a:hlink>
        <a:srgbClr val="0C008E"/>
      </a:hlink>
      <a:folHlink>
        <a:srgbClr val="0C008E"/>
      </a:folHlink>
    </a:clrScheme>
    <a:fontScheme name="Custom 5">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C_Map_Root xmlns="http://Greg_Maxey/CC_Mapping_Part">
  <mapNode_1/>
  <mapNode_2/>
  <mapNode_3/>
  <mapParentNode_1>
    <nestedMapNode_1/>
    <nestedMapNode_2/>
  </mapParentNode_1>
  <GLOBAL_CoverTitle>Planning Scheme 
Amendment Request</GLOBAL_CoverTitle>
  <GLOBAL_CoverSubtitle>200 Arden Street, North Melbourne</GLOBAL_CoverSubtitle>
  <GLOBAL_ProjAddress/>
  <GLOBAL_ClientName>Electrical Trade Union</GLOBAL_ClientName>
  <GLOBAL_ProjNumber>3190353</GLOBAL_ProjNumber>
  <GLOBAL_CoverDate>2024-06-03T00:00:00</GLOBAL_CoverDate>
  <GLOBAL_Footer1>Planning Scheme Amendment Request</GLOBAL_Footer1>
  <GLOBAL_Footer2/>
  <GLOBAL_CouncilName/>
  <GLOBAL_Author/>
  <GLOBAL_ProjReviewer>Henry Wallis</GLOBAL_ProjReviewer>
  <GLOBAL_ProjDirector/>
  <GLOBAL_ProjName/>
</CC_Map_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TTF2X4MEUN6D-1188005670-6924</_dlc_DocId>
    <_dlc_DocIdUrl xmlns="d804f86b-3500-4658-8c9d-99491f71a5e9">
      <Url>https://cityofmelbourne.sharepoint.com/sites/commdev/_layouts/15/DocIdRedir.aspx?ID=TTF2X4MEUN6D-1188005670-6924</Url>
      <Description>TTF2X4MEUN6D-1188005670-6924</Description>
    </_dlc_DocIdUrl>
  </documentManagement>
</p:properties>
</file>

<file path=customXml/itemProps1.xml><?xml version="1.0" encoding="utf-8"?>
<ds:datastoreItem xmlns:ds="http://schemas.openxmlformats.org/officeDocument/2006/customXml" ds:itemID="{603E7D31-AE21-4067-BC99-39108952EC29}">
  <ds:schemaRefs>
    <ds:schemaRef ds:uri="http://Greg_Maxey/CC_Mapping_Part"/>
  </ds:schemaRefs>
</ds:datastoreItem>
</file>

<file path=customXml/itemProps2.xml><?xml version="1.0" encoding="utf-8"?>
<ds:datastoreItem xmlns:ds="http://schemas.openxmlformats.org/officeDocument/2006/customXml" ds:itemID="{5A566B11-AA81-486F-8E11-4198DA96D458}">
  <ds:schemaRefs>
    <ds:schemaRef ds:uri="http://schemas.openxmlformats.org/officeDocument/2006/bibliography"/>
  </ds:schemaRefs>
</ds:datastoreItem>
</file>

<file path=customXml/itemProps3.xml><?xml version="1.0" encoding="utf-8"?>
<ds:datastoreItem xmlns:ds="http://schemas.openxmlformats.org/officeDocument/2006/customXml" ds:itemID="{E5B0FC27-79EA-47AE-818E-11ACD6F08F1E}"/>
</file>

<file path=customXml/itemProps4.xml><?xml version="1.0" encoding="utf-8"?>
<ds:datastoreItem xmlns:ds="http://schemas.openxmlformats.org/officeDocument/2006/customXml" ds:itemID="{27878EC9-03FE-4DBC-8218-3977350FE753}"/>
</file>

<file path=customXml/itemProps5.xml><?xml version="1.0" encoding="utf-8"?>
<ds:datastoreItem xmlns:ds="http://schemas.openxmlformats.org/officeDocument/2006/customXml" ds:itemID="{50091070-F625-43CE-8C35-F29A11710F9B}"/>
</file>

<file path=customXml/itemProps6.xml><?xml version="1.0" encoding="utf-8"?>
<ds:datastoreItem xmlns:ds="http://schemas.openxmlformats.org/officeDocument/2006/customXml" ds:itemID="{3903DB45-C76D-488E-B7AD-F3BF3CCC3FC7}"/>
</file>

<file path=docProps/app.xml><?xml version="1.0" encoding="utf-8"?>
<Properties xmlns="http://schemas.openxmlformats.org/officeDocument/2006/extended-properties" xmlns:vt="http://schemas.openxmlformats.org/officeDocument/2006/docPropsVTypes">
  <Template>VIC - Planning Scheme Amendment Request.dotx</Template>
  <TotalTime>1</TotalTime>
  <Pages>51</Pages>
  <Words>14736</Words>
  <Characters>82856</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Hanslow-Sells</dc:creator>
  <cp:keywords/>
  <dc:description/>
  <cp:lastModifiedBy>Jill Cairnes</cp:lastModifiedBy>
  <cp:revision>2</cp:revision>
  <cp:lastPrinted>2024-03-26T00:26:00Z</cp:lastPrinted>
  <dcterms:created xsi:type="dcterms:W3CDTF">2024-06-11T01:03:00Z</dcterms:created>
  <dcterms:modified xsi:type="dcterms:W3CDTF">2024-06-11T01:03:00Z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THOS_Title1">
    <vt:lpwstr>&lt;&lt;Title1&gt;&gt;</vt:lpwstr>
  </property>
  <property fmtid="{D5CDD505-2E9C-101B-9397-08002B2CF9AE}" pid="3" name="ETHOS_ClientName">
    <vt:lpwstr>&lt;&lt;ClientName&gt;&gt;</vt:lpwstr>
  </property>
  <property fmtid="{D5CDD505-2E9C-101B-9397-08002B2CF9AE}" pid="4" name="ETHOS_CoverDate">
    <vt:lpwstr>&lt;&lt;CoverDate&gt;&gt;</vt:lpwstr>
  </property>
  <property fmtid="{D5CDD505-2E9C-101B-9397-08002B2CF9AE}" pid="5" name="ETHOS_Title2">
    <vt:lpwstr>&lt;&lt;Title2&gt;&gt;</vt:lpwstr>
  </property>
  <property fmtid="{D5CDD505-2E9C-101B-9397-08002B2CF9AE}" pid="6" name="ETHOS_Author">
    <vt:lpwstr>&lt;&lt;Author&gt;&gt;</vt:lpwstr>
  </property>
  <property fmtid="{D5CDD505-2E9C-101B-9397-08002B2CF9AE}" pid="7" name="ETHOS_FooterField">
    <vt:lpwstr>&lt;&lt;FooterField&gt;&gt;</vt:lpwstr>
  </property>
  <property fmtid="{D5CDD505-2E9C-101B-9397-08002B2CF9AE}" pid="8" name="ETHOS_ProjAddress">
    <vt:lpwstr>&lt;&lt;ProjAddress&gt;&gt;</vt:lpwstr>
  </property>
  <property fmtid="{D5CDD505-2E9C-101B-9397-08002B2CF9AE}" pid="9" name="ETHOS_CouncilName">
    <vt:lpwstr>&lt;&lt;CouncilName&gt;&gt;</vt:lpwstr>
  </property>
  <property fmtid="{D5CDD505-2E9C-101B-9397-08002B2CF9AE}" pid="10" name="ETHOS_ProjDesc">
    <vt:lpwstr>&lt;&lt;ProjDesc&gt;&gt;</vt:lpwstr>
  </property>
  <property fmtid="{D5CDD505-2E9C-101B-9397-08002B2CF9AE}" pid="11" name="ETHOS_ProjNumber">
    <vt:lpwstr>&lt;&lt;ProjNumber&gt;&gt;</vt:lpwstr>
  </property>
  <property fmtid="{D5CDD505-2E9C-101B-9397-08002B2CF9AE}" pid="12" name="ETHOS_ProjDirector">
    <vt:lpwstr/>
  </property>
  <property fmtid="{D5CDD505-2E9C-101B-9397-08002B2CF9AE}" pid="13" name="ETHOS_ProjManager">
    <vt:lpwstr>Project Manager 3</vt:lpwstr>
  </property>
  <property fmtid="{D5CDD505-2E9C-101B-9397-08002B2CF9AE}" pid="14" name="ETHOS_ProjReviewer">
    <vt:lpwstr>Project Reviewer 3</vt:lpwstr>
  </property>
  <property fmtid="{D5CDD505-2E9C-101B-9397-08002B2CF9AE}" pid="15" name="ETHOS_Footer">
    <vt:lpwstr>&lt;&lt;ProjNumber&gt;&gt; | &lt;&lt;ProjAddress&gt;&gt;</vt:lpwstr>
  </property>
  <property fmtid="{D5CDD505-2E9C-101B-9397-08002B2CF9AE}" pid="16" name="ETHOS_HeaderDivider">
    <vt:lpwstr>&lt;&lt;Header&gt;&gt;</vt:lpwstr>
  </property>
  <property fmtid="{D5CDD505-2E9C-101B-9397-08002B2CF9AE}" pid="17" name="GrammarlyDocumentId">
    <vt:lpwstr>3e3b02b975a140d463b444644075679853e0698ae13c26f059b3764061ffa755</vt:lpwstr>
  </property>
  <property fmtid="{D5CDD505-2E9C-101B-9397-08002B2CF9AE}" pid="18" name="MSIP_Label_4dae423b-08b2-4fa7-b949-d5153bd7638d_Enabled">
    <vt:lpwstr>true</vt:lpwstr>
  </property>
  <property fmtid="{D5CDD505-2E9C-101B-9397-08002B2CF9AE}" pid="19" name="MSIP_Label_4dae423b-08b2-4fa7-b949-d5153bd7638d_SetDate">
    <vt:lpwstr>2023-10-16T02:46:04Z</vt:lpwstr>
  </property>
  <property fmtid="{D5CDD505-2E9C-101B-9397-08002B2CF9AE}" pid="20" name="MSIP_Label_4dae423b-08b2-4fa7-b949-d5153bd7638d_Method">
    <vt:lpwstr>Standard</vt:lpwstr>
  </property>
  <property fmtid="{D5CDD505-2E9C-101B-9397-08002B2CF9AE}" pid="21" name="MSIP_Label_4dae423b-08b2-4fa7-b949-d5153bd7638d_Name">
    <vt:lpwstr>Corporate</vt:lpwstr>
  </property>
  <property fmtid="{D5CDD505-2E9C-101B-9397-08002B2CF9AE}" pid="22" name="MSIP_Label_4dae423b-08b2-4fa7-b949-d5153bd7638d_SiteId">
    <vt:lpwstr>cf4d9338-900d-4f0b-af8c-5f1b13bfd285</vt:lpwstr>
  </property>
  <property fmtid="{D5CDD505-2E9C-101B-9397-08002B2CF9AE}" pid="23" name="MSIP_Label_4dae423b-08b2-4fa7-b949-d5153bd7638d_ActionId">
    <vt:lpwstr>2c6c47d0-d707-4918-b317-76bdb33240fe</vt:lpwstr>
  </property>
  <property fmtid="{D5CDD505-2E9C-101B-9397-08002B2CF9AE}" pid="24" name="MSIP_Label_4dae423b-08b2-4fa7-b949-d5153bd7638d_ContentBits">
    <vt:lpwstr>0</vt:lpwstr>
  </property>
  <property fmtid="{D5CDD505-2E9C-101B-9397-08002B2CF9AE}" pid="25" name="ContentTypeId">
    <vt:lpwstr>0x0101001681DE773557C544A14A6F647A4C536F002F04C4E57AADE049924F3D286AD729A7</vt:lpwstr>
  </property>
  <property fmtid="{D5CDD505-2E9C-101B-9397-08002B2CF9AE}" pid="26" name="_dlc_DocIdItemGuid">
    <vt:lpwstr>cf74c702-9141-4fcb-b48e-b49a95af1303</vt:lpwstr>
  </property>
  <property fmtid="{D5CDD505-2E9C-101B-9397-08002B2CF9AE}" pid="27" name="MediaServiceImageTags">
    <vt:lpwstr/>
  </property>
</Properties>
</file>